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宋体" w:cs="Times New Roman"/>
          <w:bCs/>
          <w:color w:val="auto"/>
          <w:w w:val="66"/>
          <w:sz w:val="36"/>
          <w:szCs w:val="36"/>
          <w:lang w:val="en-US" w:eastAsia="zh-CN"/>
        </w:rPr>
      </w:pPr>
      <w:r>
        <w:rPr>
          <w:rFonts w:hint="eastAsia" w:ascii="宋体" w:hAnsi="宋体" w:eastAsia="宋体" w:cs="Times New Roman"/>
          <w:b/>
          <w:color w:val="auto"/>
          <w:sz w:val="36"/>
          <w:szCs w:val="36"/>
          <w:lang w:val="en-US" w:eastAsia="zh-CN"/>
        </w:rPr>
        <w:t>恩施大峡谷地面缆车2024年度绿化养护服务</w:t>
      </w:r>
    </w:p>
    <w:p>
      <w:pPr>
        <w:jc w:val="center"/>
        <w:rPr>
          <w:rFonts w:ascii="Times New Roman" w:hAnsi="Times New Roman" w:eastAsia="宋体" w:cs="Times New Roman"/>
          <w:bCs/>
          <w:color w:val="auto"/>
          <w:w w:val="66"/>
          <w:sz w:val="120"/>
          <w:szCs w:val="120"/>
        </w:rPr>
      </w:pPr>
    </w:p>
    <w:p>
      <w:pPr>
        <w:jc w:val="center"/>
        <w:rPr>
          <w:rFonts w:ascii="Times New Roman" w:hAnsi="Times New Roman" w:eastAsia="宋体" w:cs="Times New Roman"/>
          <w:bCs/>
          <w:color w:val="auto"/>
          <w:w w:val="66"/>
          <w:sz w:val="120"/>
          <w:szCs w:val="120"/>
        </w:rPr>
      </w:pPr>
    </w:p>
    <w:p>
      <w:pPr>
        <w:jc w:val="center"/>
        <w:rPr>
          <w:rFonts w:ascii="Times New Roman" w:hAnsi="Times New Roman" w:eastAsia="宋体" w:cs="Times New Roman"/>
          <w:bCs/>
          <w:color w:val="auto"/>
          <w:w w:val="66"/>
          <w:sz w:val="120"/>
          <w:szCs w:val="120"/>
        </w:rPr>
      </w:pPr>
      <w:r>
        <w:rPr>
          <w:rFonts w:ascii="Times New Roman" w:hAnsi="Times New Roman" w:eastAsia="宋体" w:cs="Times New Roman"/>
          <w:bCs/>
          <w:color w:val="auto"/>
          <w:w w:val="66"/>
          <w:sz w:val="120"/>
          <w:szCs w:val="120"/>
        </w:rPr>
        <w:t>竞争性磋商文件</w:t>
      </w:r>
    </w:p>
    <w:p>
      <w:pPr>
        <w:jc w:val="center"/>
        <w:rPr>
          <w:rFonts w:ascii="Times New Roman" w:hAnsi="Times New Roman" w:cs="Times New Roman"/>
          <w:color w:val="auto"/>
          <w:sz w:val="72"/>
          <w:szCs w:val="20"/>
        </w:rPr>
      </w:pPr>
    </w:p>
    <w:p>
      <w:pPr>
        <w:snapToGrid w:val="0"/>
        <w:spacing w:after="200" w:line="220" w:lineRule="atLeast"/>
        <w:jc w:val="center"/>
        <w:rPr>
          <w:rFonts w:ascii="宋体" w:hAnsi="宋体" w:eastAsia="宋体"/>
          <w:b/>
          <w:color w:val="auto"/>
          <w:sz w:val="28"/>
          <w:szCs w:val="28"/>
        </w:rPr>
      </w:pPr>
    </w:p>
    <w:p>
      <w:pPr>
        <w:snapToGrid w:val="0"/>
        <w:spacing w:after="200" w:line="220" w:lineRule="atLeast"/>
        <w:jc w:val="center"/>
        <w:rPr>
          <w:rFonts w:ascii="宋体" w:hAnsi="宋体" w:eastAsia="宋体"/>
          <w:b/>
          <w:color w:val="auto"/>
          <w:sz w:val="28"/>
          <w:szCs w:val="28"/>
        </w:rPr>
      </w:pPr>
    </w:p>
    <w:p>
      <w:pPr>
        <w:snapToGrid w:val="0"/>
        <w:spacing w:after="200" w:line="220" w:lineRule="atLeast"/>
        <w:jc w:val="center"/>
        <w:rPr>
          <w:rFonts w:ascii="宋体" w:hAnsi="宋体" w:eastAsia="宋体"/>
          <w:b/>
          <w:color w:val="auto"/>
          <w:sz w:val="28"/>
          <w:szCs w:val="28"/>
        </w:rPr>
      </w:pPr>
    </w:p>
    <w:p>
      <w:pPr>
        <w:snapToGrid w:val="0"/>
        <w:spacing w:after="200" w:line="220" w:lineRule="atLeast"/>
        <w:jc w:val="center"/>
        <w:rPr>
          <w:rFonts w:ascii="宋体" w:hAnsi="宋体" w:eastAsia="宋体"/>
          <w:b/>
          <w:color w:val="auto"/>
          <w:sz w:val="28"/>
          <w:szCs w:val="28"/>
        </w:rPr>
      </w:pPr>
    </w:p>
    <w:p>
      <w:pPr>
        <w:snapToGrid w:val="0"/>
        <w:spacing w:after="200" w:line="220" w:lineRule="atLeast"/>
        <w:jc w:val="center"/>
        <w:rPr>
          <w:rFonts w:hint="default" w:ascii="宋体" w:hAnsi="宋体" w:eastAsia="宋体"/>
          <w:b/>
          <w:color w:val="auto"/>
          <w:sz w:val="28"/>
          <w:szCs w:val="28"/>
          <w:lang w:val="en-US" w:eastAsia="zh-CN"/>
        </w:rPr>
      </w:pPr>
      <w:r>
        <w:rPr>
          <w:rFonts w:hint="eastAsia" w:ascii="宋体" w:hAnsi="宋体" w:eastAsia="宋体"/>
          <w:b/>
          <w:color w:val="auto"/>
          <w:sz w:val="28"/>
          <w:szCs w:val="28"/>
          <w:u w:val="single"/>
          <w:lang w:val="en-US" w:eastAsia="zh-CN"/>
        </w:rPr>
        <w:t xml:space="preserve">     </w:t>
      </w:r>
    </w:p>
    <w:p>
      <w:pPr>
        <w:snapToGrid w:val="0"/>
        <w:spacing w:after="200" w:line="220" w:lineRule="atLeast"/>
        <w:jc w:val="center"/>
        <w:rPr>
          <w:rFonts w:ascii="宋体" w:hAnsi="宋体" w:eastAsia="宋体"/>
          <w:b/>
          <w:color w:val="auto"/>
          <w:sz w:val="28"/>
          <w:szCs w:val="28"/>
        </w:rPr>
      </w:pPr>
    </w:p>
    <w:p>
      <w:pPr>
        <w:snapToGrid w:val="0"/>
        <w:spacing w:after="200" w:line="220" w:lineRule="atLeast"/>
        <w:ind w:firstLine="1124" w:firstLineChars="400"/>
        <w:jc w:val="left"/>
        <w:rPr>
          <w:rFonts w:ascii="宋体" w:hAnsi="宋体" w:eastAsia="宋体"/>
          <w:b/>
          <w:color w:val="auto"/>
          <w:sz w:val="28"/>
          <w:szCs w:val="28"/>
        </w:rPr>
      </w:pPr>
      <w:r>
        <w:rPr>
          <w:rFonts w:ascii="宋体" w:hAnsi="宋体" w:eastAsia="宋体"/>
          <w:b/>
          <w:color w:val="auto"/>
          <w:sz w:val="28"/>
          <w:szCs w:val="28"/>
        </w:rPr>
        <w:t>采购人：</w:t>
      </w:r>
      <w:r>
        <w:rPr>
          <w:rFonts w:hint="eastAsia" w:ascii="宋体" w:hAnsi="宋体" w:eastAsia="宋体"/>
          <w:b/>
          <w:color w:val="auto"/>
          <w:sz w:val="28"/>
          <w:szCs w:val="28"/>
          <w:u w:val="single"/>
          <w:lang w:val="en-US" w:eastAsia="zh-CN"/>
        </w:rPr>
        <w:t>湖北省鄂旅投旅游发展股份有限公司</w:t>
      </w:r>
    </w:p>
    <w:p>
      <w:pPr>
        <w:snapToGrid w:val="0"/>
        <w:spacing w:after="200" w:line="220" w:lineRule="atLeast"/>
        <w:ind w:firstLine="1124" w:firstLineChars="400"/>
        <w:jc w:val="left"/>
        <w:rPr>
          <w:rFonts w:ascii="Times New Roman" w:hAnsi="Times New Roman" w:cs="Times New Roman"/>
          <w:b/>
          <w:color w:val="auto"/>
          <w:sz w:val="24"/>
          <w:szCs w:val="24"/>
        </w:rPr>
      </w:pPr>
      <w:r>
        <w:rPr>
          <w:rFonts w:ascii="宋体" w:hAnsi="宋体" w:eastAsia="宋体"/>
          <w:b/>
          <w:color w:val="auto"/>
          <w:sz w:val="28"/>
          <w:szCs w:val="28"/>
        </w:rPr>
        <w:t>采购</w:t>
      </w:r>
      <w:r>
        <w:rPr>
          <w:rFonts w:hint="eastAsia" w:ascii="宋体" w:hAnsi="宋体" w:eastAsia="宋体"/>
          <w:b/>
          <w:color w:val="auto"/>
          <w:sz w:val="28"/>
          <w:szCs w:val="28"/>
          <w:lang w:val="en-US" w:eastAsia="zh-CN"/>
        </w:rPr>
        <w:t>日期</w:t>
      </w:r>
      <w:r>
        <w:rPr>
          <w:rFonts w:ascii="宋体" w:hAnsi="宋体" w:eastAsia="宋体"/>
          <w:b/>
          <w:color w:val="auto"/>
          <w:sz w:val="28"/>
          <w:szCs w:val="28"/>
        </w:rPr>
        <w:t>：</w:t>
      </w:r>
      <w:r>
        <w:rPr>
          <w:rFonts w:hint="eastAsia" w:ascii="宋体" w:hAnsi="宋体" w:eastAsia="宋体"/>
          <w:b/>
          <w:color w:val="auto"/>
          <w:sz w:val="28"/>
          <w:szCs w:val="28"/>
          <w:u w:val="single"/>
          <w:lang w:val="en-US" w:eastAsia="zh-CN"/>
        </w:rPr>
        <w:t>2024年5月</w:t>
      </w:r>
    </w:p>
    <w:p>
      <w:pPr>
        <w:pStyle w:val="4"/>
        <w:rPr>
          <w:rFonts w:ascii="Times New Roman" w:hAnsi="Times New Roman" w:cs="Times New Roman"/>
          <w:b/>
          <w:color w:val="auto"/>
          <w:sz w:val="24"/>
          <w:szCs w:val="24"/>
        </w:rPr>
      </w:pPr>
    </w:p>
    <w:p>
      <w:pPr>
        <w:pStyle w:val="4"/>
        <w:rPr>
          <w:rFonts w:ascii="Times New Roman" w:hAnsi="Times New Roman" w:cs="Times New Roman"/>
          <w:b/>
          <w:color w:val="auto"/>
          <w:sz w:val="24"/>
          <w:szCs w:val="24"/>
        </w:rPr>
      </w:pPr>
    </w:p>
    <w:p>
      <w:pPr>
        <w:pStyle w:val="4"/>
        <w:rPr>
          <w:rFonts w:ascii="Times New Roman" w:hAnsi="Times New Roman" w:cs="Times New Roman"/>
          <w:b/>
          <w:color w:val="auto"/>
          <w:sz w:val="24"/>
          <w:szCs w:val="24"/>
        </w:rPr>
      </w:pPr>
    </w:p>
    <w:p>
      <w:pPr>
        <w:jc w:val="center"/>
        <w:rPr>
          <w:rFonts w:ascii="Times New Roman" w:hAnsi="Times New Roman" w:cs="Times New Roman"/>
          <w:b/>
          <w:color w:val="auto"/>
          <w:sz w:val="36"/>
          <w:szCs w:val="36"/>
        </w:rPr>
      </w:pPr>
    </w:p>
    <w:p>
      <w:pPr>
        <w:rPr>
          <w:rFonts w:ascii="Times New Roman" w:hAnsi="Times New Roman" w:cs="Times New Roman"/>
          <w:b/>
          <w:color w:val="auto"/>
          <w:sz w:val="36"/>
          <w:szCs w:val="36"/>
        </w:rPr>
      </w:pPr>
      <w:r>
        <w:rPr>
          <w:rFonts w:ascii="Times New Roman" w:hAnsi="Times New Roman" w:cs="Times New Roman"/>
          <w:b/>
          <w:color w:val="auto"/>
          <w:sz w:val="36"/>
          <w:szCs w:val="36"/>
        </w:rPr>
        <w:br w:type="page"/>
      </w:r>
    </w:p>
    <w:p>
      <w:pPr>
        <w:widowControl/>
        <w:jc w:val="left"/>
        <w:rPr>
          <w:rFonts w:ascii="Times New Roman" w:hAnsi="Times New Roman" w:cs="Times New Roman"/>
          <w:color w:val="auto"/>
          <w:sz w:val="24"/>
          <w:szCs w:val="24"/>
        </w:rPr>
        <w:sectPr>
          <w:pgSz w:w="11906" w:h="16838"/>
          <w:pgMar w:top="1440" w:right="1800" w:bottom="1440" w:left="1800" w:header="851" w:footer="992" w:gutter="0"/>
          <w:cols w:space="425" w:num="1"/>
          <w:docGrid w:type="lines" w:linePitch="312" w:charSpace="0"/>
        </w:sectPr>
      </w:pPr>
    </w:p>
    <w:p>
      <w:pPr>
        <w:spacing w:line="500" w:lineRule="exact"/>
        <w:jc w:val="center"/>
        <w:rPr>
          <w:rFonts w:ascii="Times New Roman" w:hAnsi="Times New Roman" w:cs="Times New Roman"/>
          <w:b/>
          <w:bCs/>
          <w:color w:val="auto"/>
          <w:sz w:val="36"/>
          <w:szCs w:val="36"/>
        </w:rPr>
      </w:pPr>
      <w:r>
        <w:rPr>
          <w:rFonts w:ascii="Times New Roman" w:hAnsi="Times New Roman" w:cs="Times New Roman"/>
          <w:b/>
          <w:bCs/>
          <w:color w:val="auto"/>
          <w:sz w:val="36"/>
          <w:szCs w:val="36"/>
        </w:rPr>
        <w:t>第一章 邀请函</w:t>
      </w:r>
    </w:p>
    <w:p>
      <w:pPr>
        <w:spacing w:line="420" w:lineRule="exact"/>
        <w:rPr>
          <w:rFonts w:ascii="Times New Roman" w:hAnsi="Times New Roman" w:cs="Times New Roman"/>
          <w:bCs/>
          <w:color w:val="auto"/>
          <w:sz w:val="24"/>
          <w:szCs w:val="24"/>
          <w:lang w:bidi="ar-EG"/>
        </w:rPr>
      </w:pPr>
    </w:p>
    <w:p>
      <w:pPr>
        <w:keepNext w:val="0"/>
        <w:keepLines w:val="0"/>
        <w:pageBreakBefore w:val="0"/>
        <w:kinsoku/>
        <w:wordWrap/>
        <w:overflowPunct/>
        <w:autoSpaceDE/>
        <w:autoSpaceDN/>
        <w:bidi w:val="0"/>
        <w:adjustRightInd/>
        <w:snapToGrid w:val="0"/>
        <w:spacing w:line="560" w:lineRule="exact"/>
        <w:ind w:firstLine="480" w:firstLineChars="200"/>
        <w:jc w:val="both"/>
        <w:textAlignment w:val="auto"/>
        <w:rPr>
          <w:rFonts w:ascii="Times New Roman" w:hAnsi="Times New Roman" w:cs="Times New Roman"/>
          <w:color w:val="auto"/>
          <w:sz w:val="24"/>
          <w:szCs w:val="24"/>
          <w:lang w:val="hr-HR"/>
        </w:rPr>
      </w:pPr>
      <w:r>
        <w:rPr>
          <w:rFonts w:hint="eastAsia" w:ascii="宋体" w:hAnsi="宋体" w:eastAsia="宋体" w:cs="宋体"/>
          <w:b w:val="0"/>
          <w:bCs/>
          <w:color w:val="auto"/>
          <w:sz w:val="24"/>
          <w:szCs w:val="24"/>
          <w:u w:val="none"/>
          <w:lang w:val="en-US" w:eastAsia="zh-CN"/>
        </w:rPr>
        <w:t>湖北省鄂旅投旅游发展股份有限公司拟对</w:t>
      </w:r>
      <w:r>
        <w:rPr>
          <w:rFonts w:hint="eastAsia" w:ascii="宋体" w:hAnsi="宋体" w:eastAsia="宋体" w:cs="Times New Roman"/>
          <w:b w:val="0"/>
          <w:bCs/>
          <w:color w:val="auto"/>
          <w:sz w:val="24"/>
          <w:szCs w:val="24"/>
          <w:lang w:val="en-US" w:eastAsia="zh-CN"/>
        </w:rPr>
        <w:t>恩施大峡谷地面缆车2024年度绿化养护服务</w:t>
      </w:r>
      <w:r>
        <w:rPr>
          <w:rFonts w:hint="eastAsia" w:ascii="Times New Roman" w:hAnsi="Times New Roman" w:cs="Times New Roman"/>
          <w:color w:val="auto"/>
          <w:sz w:val="24"/>
          <w:szCs w:val="24"/>
          <w:lang w:val="hr-HR"/>
        </w:rPr>
        <w:t>项目进行竞争性磋商采购。欢迎符合资格条件的供应商报名参与竞争性磋商。</w:t>
      </w:r>
    </w:p>
    <w:p>
      <w:pPr>
        <w:keepNext w:val="0"/>
        <w:keepLines w:val="0"/>
        <w:pageBreakBefore w:val="0"/>
        <w:kinsoku/>
        <w:wordWrap/>
        <w:overflowPunct/>
        <w:autoSpaceDE/>
        <w:autoSpaceDN/>
        <w:bidi w:val="0"/>
        <w:adjustRightInd/>
        <w:spacing w:line="560" w:lineRule="exact"/>
        <w:ind w:firstLine="480" w:firstLineChars="200"/>
        <w:textAlignment w:val="auto"/>
        <w:rPr>
          <w:rFonts w:hint="default" w:ascii="Times New Roman" w:hAnsi="Times New Roman" w:cs="Times New Roman" w:eastAsiaTheme="minorEastAsia"/>
          <w:bCs/>
          <w:color w:val="auto"/>
          <w:sz w:val="24"/>
          <w:szCs w:val="24"/>
          <w:lang w:val="en-US" w:eastAsia="zh-CN" w:bidi="ar-EG"/>
        </w:rPr>
      </w:pPr>
      <w:r>
        <w:rPr>
          <w:rFonts w:ascii="Times New Roman" w:hAnsi="Times New Roman" w:cs="Times New Roman"/>
          <w:bCs/>
          <w:color w:val="auto"/>
          <w:sz w:val="24"/>
          <w:szCs w:val="24"/>
          <w:lang w:bidi="ar-EG"/>
        </w:rPr>
        <w:t>一、项目编号：</w:t>
      </w:r>
      <w:r>
        <w:rPr>
          <w:rFonts w:hint="eastAsia" w:ascii="Times New Roman" w:hAnsi="Times New Roman" w:cs="Times New Roman"/>
          <w:bCs/>
          <w:color w:val="auto"/>
          <w:sz w:val="24"/>
          <w:szCs w:val="24"/>
          <w:lang w:val="en-US" w:eastAsia="zh-CN" w:bidi="ar-EG"/>
        </w:rPr>
        <w:t>ELGFSYB-20240530</w:t>
      </w:r>
    </w:p>
    <w:p>
      <w:pPr>
        <w:keepNext w:val="0"/>
        <w:keepLines w:val="0"/>
        <w:pageBreakBefore w:val="0"/>
        <w:kinsoku/>
        <w:wordWrap/>
        <w:overflowPunct/>
        <w:autoSpaceDE/>
        <w:autoSpaceDN/>
        <w:bidi w:val="0"/>
        <w:adjustRightInd/>
        <w:spacing w:line="560" w:lineRule="exact"/>
        <w:ind w:firstLine="480" w:firstLineChars="200"/>
        <w:jc w:val="both"/>
        <w:textAlignment w:val="auto"/>
        <w:rPr>
          <w:rFonts w:hint="default" w:ascii="Times New Roman" w:hAnsi="Times New Roman" w:eastAsia="宋体" w:cs="Times New Roman"/>
          <w:b w:val="0"/>
          <w:bCs/>
          <w:color w:val="auto"/>
          <w:w w:val="66"/>
          <w:sz w:val="24"/>
          <w:szCs w:val="24"/>
          <w:lang w:val="en-US" w:eastAsia="zh-CN"/>
        </w:rPr>
      </w:pPr>
      <w:r>
        <w:rPr>
          <w:rFonts w:ascii="Times New Roman" w:hAnsi="Times New Roman" w:cs="Times New Roman"/>
          <w:bCs/>
          <w:color w:val="auto"/>
          <w:sz w:val="24"/>
          <w:szCs w:val="24"/>
          <w:lang w:bidi="ar-EG"/>
        </w:rPr>
        <w:t>二、项目名称：</w:t>
      </w:r>
      <w:r>
        <w:rPr>
          <w:rFonts w:hint="eastAsia" w:ascii="宋体" w:hAnsi="宋体" w:eastAsia="宋体" w:cs="Times New Roman"/>
          <w:b w:val="0"/>
          <w:bCs/>
          <w:color w:val="auto"/>
          <w:sz w:val="24"/>
          <w:szCs w:val="24"/>
          <w:lang w:val="en-US" w:eastAsia="zh-CN"/>
        </w:rPr>
        <w:t>恩施大峡谷地面缆车2024年度绿化养护</w:t>
      </w:r>
      <w:r>
        <w:rPr>
          <w:rFonts w:hint="eastAsia" w:ascii="Times New Roman" w:hAnsi="Times New Roman" w:cs="Times New Roman"/>
          <w:bCs/>
          <w:color w:val="auto"/>
          <w:sz w:val="24"/>
          <w:szCs w:val="24"/>
          <w:lang w:bidi="ar-EG"/>
        </w:rPr>
        <w:t>服务</w:t>
      </w:r>
    </w:p>
    <w:p>
      <w:pPr>
        <w:pStyle w:val="3"/>
        <w:keepNext w:val="0"/>
        <w:keepLines w:val="0"/>
        <w:pageBreakBefore w:val="0"/>
        <w:kinsoku/>
        <w:wordWrap/>
        <w:overflowPunct/>
        <w:topLinePunct w:val="0"/>
        <w:autoSpaceDE/>
        <w:autoSpaceDN/>
        <w:bidi w:val="0"/>
        <w:spacing w:before="0" w:after="0" w:line="560" w:lineRule="exact"/>
        <w:ind w:firstLine="480" w:firstLineChars="200"/>
        <w:textAlignment w:val="auto"/>
        <w:rPr>
          <w:rFonts w:hint="eastAsia" w:asciiTheme="minorEastAsia" w:hAnsiTheme="minorEastAsia" w:eastAsiaTheme="minorEastAsia" w:cstheme="minorEastAsia"/>
          <w:b w:val="0"/>
          <w:color w:val="auto"/>
          <w:kern w:val="2"/>
          <w:sz w:val="24"/>
          <w:szCs w:val="24"/>
        </w:rPr>
      </w:pPr>
      <w:r>
        <w:rPr>
          <w:rFonts w:ascii="Times New Roman" w:hAnsi="Times New Roman" w:cs="Times New Roman"/>
          <w:b w:val="0"/>
          <w:bCs/>
          <w:color w:val="auto"/>
          <w:sz w:val="24"/>
          <w:szCs w:val="24"/>
        </w:rPr>
        <w:t>三、</w:t>
      </w:r>
      <w:r>
        <w:rPr>
          <w:rFonts w:hint="eastAsia" w:ascii="Times New Roman" w:hAnsi="Times New Roman" w:cs="Times New Roman"/>
          <w:b w:val="0"/>
          <w:bCs/>
          <w:color w:val="auto"/>
          <w:sz w:val="24"/>
          <w:szCs w:val="24"/>
          <w:lang w:val="en-US" w:eastAsia="zh-CN"/>
        </w:rPr>
        <w:t>采购</w:t>
      </w:r>
      <w:r>
        <w:rPr>
          <w:rFonts w:ascii="Times New Roman" w:hAnsi="Times New Roman" w:cs="Times New Roman"/>
          <w:b w:val="0"/>
          <w:bCs/>
          <w:color w:val="auto"/>
          <w:sz w:val="24"/>
          <w:szCs w:val="24"/>
        </w:rPr>
        <w:t>内容：</w:t>
      </w:r>
      <w:r>
        <w:rPr>
          <w:rFonts w:hint="eastAsia" w:asciiTheme="minorEastAsia" w:hAnsiTheme="minorEastAsia" w:eastAsiaTheme="minorEastAsia" w:cstheme="minorEastAsia"/>
          <w:b w:val="0"/>
          <w:color w:val="auto"/>
          <w:kern w:val="2"/>
          <w:sz w:val="24"/>
          <w:szCs w:val="24"/>
        </w:rPr>
        <w:t>该项目位于湖北恩施市恩施大峡谷风景</w:t>
      </w:r>
      <w:r>
        <w:rPr>
          <w:rFonts w:hint="eastAsia" w:asciiTheme="minorEastAsia" w:hAnsiTheme="minorEastAsia" w:eastAsiaTheme="minorEastAsia" w:cstheme="minorEastAsia"/>
          <w:b w:val="0"/>
          <w:color w:val="auto"/>
          <w:kern w:val="2"/>
          <w:sz w:val="24"/>
          <w:szCs w:val="24"/>
          <w:lang w:val="en-US" w:eastAsia="zh-CN"/>
        </w:rPr>
        <w:t>管理中心</w:t>
      </w:r>
      <w:r>
        <w:rPr>
          <w:rFonts w:hint="eastAsia" w:asciiTheme="minorEastAsia" w:hAnsiTheme="minorEastAsia" w:eastAsiaTheme="minorEastAsia" w:cstheme="minorEastAsia"/>
          <w:b w:val="0"/>
          <w:color w:val="auto"/>
          <w:kern w:val="2"/>
          <w:sz w:val="24"/>
          <w:szCs w:val="24"/>
        </w:rPr>
        <w:t>（原沐抚办事处）大峡谷景区内。主要是对景区内的绿化植物进行修剪、施肥、病虫害防治、浇水、松土、补苗、除杂草等日常养护工作。</w:t>
      </w:r>
    </w:p>
    <w:p>
      <w:pPr>
        <w:keepNext w:val="0"/>
        <w:keepLines w:val="0"/>
        <w:pageBreakBefore w:val="0"/>
        <w:kinsoku/>
        <w:wordWrap/>
        <w:overflowPunct/>
        <w:autoSpaceDE/>
        <w:autoSpaceDN/>
        <w:bidi w:val="0"/>
        <w:adjustRightInd/>
        <w:spacing w:line="560" w:lineRule="exact"/>
        <w:ind w:firstLine="480" w:firstLineChars="200"/>
        <w:textAlignment w:val="auto"/>
        <w:rPr>
          <w:rFonts w:ascii="Times New Roman" w:hAnsi="Times New Roman" w:cs="Times New Roman"/>
          <w:bCs/>
          <w:color w:val="auto"/>
          <w:sz w:val="24"/>
          <w:szCs w:val="24"/>
        </w:rPr>
      </w:pPr>
      <w:r>
        <w:rPr>
          <w:rFonts w:ascii="Times New Roman" w:hAnsi="Times New Roman" w:cs="Times New Roman"/>
          <w:color w:val="auto"/>
          <w:sz w:val="24"/>
          <w:szCs w:val="24"/>
        </w:rPr>
        <w:t>四</w:t>
      </w:r>
      <w:r>
        <w:rPr>
          <w:rFonts w:hint="eastAsia" w:ascii="Times New Roman" w:hAnsi="Times New Roman" w:cs="Times New Roman"/>
          <w:color w:val="auto"/>
          <w:sz w:val="24"/>
          <w:szCs w:val="24"/>
        </w:rPr>
        <w:t>、</w:t>
      </w:r>
      <w:r>
        <w:rPr>
          <w:rFonts w:ascii="Times New Roman" w:hAnsi="Times New Roman" w:cs="Times New Roman"/>
          <w:color w:val="auto"/>
          <w:sz w:val="24"/>
          <w:szCs w:val="24"/>
        </w:rPr>
        <w:t>服务期限</w:t>
      </w:r>
      <w:r>
        <w:rPr>
          <w:rFonts w:hint="eastAsia" w:ascii="Times New Roman" w:hAnsi="Times New Roman" w:cs="Times New Roman"/>
          <w:color w:val="auto"/>
          <w:sz w:val="24"/>
          <w:szCs w:val="24"/>
        </w:rPr>
        <w:t>：</w:t>
      </w:r>
      <w:r>
        <w:rPr>
          <w:rFonts w:ascii="Times New Roman" w:hAnsi="Times New Roman" w:cs="Times New Roman"/>
          <w:color w:val="auto"/>
          <w:sz w:val="24"/>
          <w:szCs w:val="24"/>
        </w:rPr>
        <w:t>一年</w:t>
      </w:r>
    </w:p>
    <w:p>
      <w:pPr>
        <w:pStyle w:val="4"/>
        <w:keepNext w:val="0"/>
        <w:keepLines w:val="0"/>
        <w:pageBreakBefore w:val="0"/>
        <w:kinsoku/>
        <w:wordWrap/>
        <w:overflowPunct/>
        <w:autoSpaceDE/>
        <w:autoSpaceDN/>
        <w:bidi w:val="0"/>
        <w:adjustRightInd/>
        <w:spacing w:line="560" w:lineRule="exact"/>
        <w:ind w:firstLine="480" w:firstLineChars="200"/>
        <w:textAlignment w:val="auto"/>
        <w:rPr>
          <w:rFonts w:ascii="Times New Roman" w:hAnsi="Times New Roman" w:cs="Times New Roman"/>
          <w:bCs/>
          <w:color w:val="auto"/>
          <w:sz w:val="24"/>
          <w:szCs w:val="24"/>
          <w:lang w:bidi="ar-EG"/>
        </w:rPr>
      </w:pPr>
      <w:r>
        <w:rPr>
          <w:rFonts w:ascii="Times New Roman" w:hAnsi="Times New Roman" w:cs="Times New Roman"/>
          <w:bCs/>
          <w:color w:val="auto"/>
          <w:sz w:val="24"/>
          <w:szCs w:val="24"/>
        </w:rPr>
        <w:t>五、采购预算：</w:t>
      </w:r>
      <w:r>
        <w:rPr>
          <w:rFonts w:hint="default" w:eastAsia="宋体" w:cs="宋体" w:asciiTheme="minorAscii" w:hAnsiTheme="minorAscii"/>
          <w:color w:val="auto"/>
          <w:sz w:val="24"/>
          <w:szCs w:val="24"/>
        </w:rPr>
        <w:t>人民币大写：</w:t>
      </w:r>
      <w:r>
        <w:rPr>
          <w:rFonts w:hint="default" w:eastAsia="宋体" w:cs="宋体" w:asciiTheme="minorAscii" w:hAnsiTheme="minorAscii"/>
          <w:bCs/>
          <w:color w:val="auto"/>
          <w:sz w:val="24"/>
          <w:szCs w:val="24"/>
          <w:u w:val="single"/>
        </w:rPr>
        <w:t xml:space="preserve"> </w:t>
      </w:r>
      <w:r>
        <w:rPr>
          <w:rFonts w:hint="eastAsia" w:eastAsia="宋体" w:cs="宋体" w:asciiTheme="minorAscii" w:hAnsiTheme="minorAscii"/>
          <w:bCs/>
          <w:color w:val="auto"/>
          <w:sz w:val="24"/>
          <w:szCs w:val="24"/>
          <w:u w:val="single"/>
          <w:lang w:val="en-US" w:eastAsia="zh-CN"/>
        </w:rPr>
        <w:t>肆</w:t>
      </w:r>
      <w:r>
        <w:rPr>
          <w:rFonts w:hint="eastAsia" w:eastAsia="宋体" w:cs="宋体" w:asciiTheme="minorAscii" w:hAnsiTheme="minorAscii"/>
          <w:bCs/>
          <w:color w:val="auto"/>
          <w:sz w:val="24"/>
          <w:szCs w:val="24"/>
          <w:u w:val="single"/>
          <w:lang w:val="en-US" w:eastAsia="zh-CN"/>
        </w:rPr>
        <w:t>元伍角</w:t>
      </w:r>
      <w:r>
        <w:rPr>
          <w:rFonts w:hint="default" w:eastAsia="宋体" w:cs="宋体" w:asciiTheme="minorAscii" w:hAnsiTheme="minorAscii"/>
          <w:bCs/>
          <w:color w:val="auto"/>
          <w:sz w:val="24"/>
          <w:szCs w:val="24"/>
        </w:rPr>
        <w:t>/平方米，</w:t>
      </w:r>
      <w:r>
        <w:rPr>
          <w:rFonts w:hint="default" w:eastAsia="宋体" w:cs="宋体" w:asciiTheme="minorAscii" w:hAnsiTheme="minorAscii"/>
          <w:color w:val="auto"/>
          <w:sz w:val="24"/>
          <w:szCs w:val="24"/>
        </w:rPr>
        <w:t>人民币小写RMB：</w:t>
      </w:r>
      <w:r>
        <w:rPr>
          <w:rFonts w:hint="eastAsia" w:eastAsia="宋体" w:cs="宋体" w:asciiTheme="minorAscii" w:hAnsiTheme="minorAscii"/>
          <w:color w:val="auto"/>
          <w:sz w:val="24"/>
          <w:szCs w:val="24"/>
          <w:lang w:val="en-US" w:eastAsia="zh-CN"/>
        </w:rPr>
        <w:t>4.5</w:t>
      </w:r>
      <w:r>
        <w:rPr>
          <w:rFonts w:hint="default" w:eastAsia="宋体" w:cs="宋体" w:asciiTheme="minorAscii" w:hAnsiTheme="minorAscii"/>
          <w:color w:val="auto"/>
          <w:sz w:val="24"/>
          <w:szCs w:val="24"/>
        </w:rPr>
        <w:t>元/</w:t>
      </w:r>
      <w:r>
        <w:rPr>
          <w:rFonts w:hint="default" w:eastAsia="宋体" w:cs="宋体" w:asciiTheme="minorAscii" w:hAnsiTheme="minorAscii"/>
          <w:bCs/>
          <w:color w:val="auto"/>
          <w:sz w:val="24"/>
          <w:szCs w:val="24"/>
        </w:rPr>
        <w:t>平方米</w:t>
      </w:r>
      <w:r>
        <w:rPr>
          <w:rFonts w:hint="eastAsia" w:eastAsia="宋体" w:cs="宋体" w:asciiTheme="minorAscii" w:hAnsiTheme="minorAscii"/>
          <w:bCs/>
          <w:color w:val="auto"/>
          <w:sz w:val="24"/>
          <w:szCs w:val="24"/>
          <w:lang w:eastAsia="zh-CN"/>
        </w:rPr>
        <w:t>，</w:t>
      </w:r>
      <w:r>
        <w:rPr>
          <w:rFonts w:hint="eastAsia" w:eastAsia="宋体" w:cs="宋体" w:asciiTheme="minorAscii" w:hAnsiTheme="minorAscii"/>
          <w:bCs/>
          <w:color w:val="auto"/>
          <w:sz w:val="24"/>
          <w:szCs w:val="24"/>
          <w:lang w:val="en-US" w:eastAsia="zh-CN"/>
        </w:rPr>
        <w:t>总价：</w:t>
      </w:r>
      <w:r>
        <w:rPr>
          <w:rFonts w:hint="eastAsia" w:eastAsia="宋体" w:cs="宋体" w:asciiTheme="minorAscii" w:hAnsiTheme="minorAscii"/>
          <w:bCs/>
          <w:color w:val="auto"/>
          <w:sz w:val="24"/>
          <w:szCs w:val="24"/>
          <w:u w:val="single"/>
          <w:lang w:val="en-US" w:eastAsia="zh-CN"/>
        </w:rPr>
        <w:t>200250</w:t>
      </w:r>
      <w:r>
        <w:rPr>
          <w:rFonts w:hint="eastAsia" w:eastAsia="宋体" w:cs="宋体" w:asciiTheme="minorAscii" w:hAnsiTheme="minorAscii"/>
          <w:bCs/>
          <w:color w:val="auto"/>
          <w:sz w:val="24"/>
          <w:szCs w:val="24"/>
          <w:lang w:val="en-US" w:eastAsia="zh-CN"/>
        </w:rPr>
        <w:t>元/年（大写：</w:t>
      </w:r>
      <w:r>
        <w:rPr>
          <w:rFonts w:hint="eastAsia" w:eastAsia="宋体" w:cs="宋体" w:asciiTheme="minorAscii" w:hAnsiTheme="minorAscii"/>
          <w:bCs/>
          <w:color w:val="auto"/>
          <w:sz w:val="24"/>
          <w:szCs w:val="24"/>
          <w:u w:val="single"/>
          <w:lang w:val="en-US" w:eastAsia="zh-CN"/>
        </w:rPr>
        <w:t>贰拾万零贰佰伍拾元整</w:t>
      </w:r>
      <w:r>
        <w:rPr>
          <w:rFonts w:hint="eastAsia" w:eastAsia="宋体" w:cs="宋体" w:asciiTheme="minorAscii" w:hAnsiTheme="minorAscii"/>
          <w:bCs/>
          <w:color w:val="auto"/>
          <w:sz w:val="24"/>
          <w:szCs w:val="24"/>
          <w:lang w:val="en-US" w:eastAsia="zh-CN"/>
        </w:rPr>
        <w:t>），</w:t>
      </w:r>
      <w:r>
        <w:rPr>
          <w:rFonts w:hint="default" w:asciiTheme="minorAscii" w:hAnsiTheme="minorAscii"/>
          <w:color w:val="auto"/>
          <w:sz w:val="24"/>
          <w:szCs w:val="24"/>
        </w:rPr>
        <w:t>根据工程量清单合计绿化总面积考虑养护综合单价，绿化养护总面积44500平方米。</w:t>
      </w:r>
      <w:r>
        <w:rPr>
          <w:rFonts w:hint="eastAsia" w:ascii="Times New Roman" w:hAnsi="Times New Roman" w:cs="Times New Roman"/>
          <w:bCs/>
          <w:color w:val="auto"/>
          <w:sz w:val="24"/>
          <w:szCs w:val="24"/>
          <w:lang w:bidi="ar-EG"/>
        </w:rPr>
        <w:t>（此预算为最高限价，凡供应商报价超过此预算被视为投标无效）</w:t>
      </w:r>
    </w:p>
    <w:p>
      <w:pPr>
        <w:keepNext w:val="0"/>
        <w:keepLines w:val="0"/>
        <w:pageBreakBefore w:val="0"/>
        <w:kinsoku/>
        <w:wordWrap/>
        <w:overflowPunct/>
        <w:autoSpaceDE/>
        <w:autoSpaceDN/>
        <w:bidi w:val="0"/>
        <w:adjustRightInd/>
        <w:spacing w:line="560" w:lineRule="exact"/>
        <w:ind w:firstLine="480" w:firstLineChars="200"/>
        <w:textAlignment w:val="auto"/>
        <w:rPr>
          <w:rFonts w:ascii="Times New Roman" w:hAnsi="Times New Roman" w:cs="Times New Roman"/>
          <w:bCs/>
          <w:color w:val="auto"/>
          <w:sz w:val="24"/>
          <w:szCs w:val="24"/>
        </w:rPr>
      </w:pPr>
      <w:r>
        <w:rPr>
          <w:rFonts w:ascii="Times New Roman" w:hAnsi="Times New Roman" w:cs="Times New Roman"/>
          <w:bCs/>
          <w:color w:val="auto"/>
          <w:sz w:val="24"/>
          <w:szCs w:val="24"/>
        </w:rPr>
        <w:t>六、供应商资格条件</w:t>
      </w:r>
    </w:p>
    <w:p>
      <w:pPr>
        <w:keepNext w:val="0"/>
        <w:keepLines w:val="0"/>
        <w:pageBreakBefore w:val="0"/>
        <w:kinsoku/>
        <w:wordWrap/>
        <w:overflowPunct/>
        <w:autoSpaceDE/>
        <w:autoSpaceDN/>
        <w:bidi w:val="0"/>
        <w:adjustRightInd/>
        <w:spacing w:line="560" w:lineRule="exact"/>
        <w:ind w:firstLine="480" w:firstLineChars="200"/>
        <w:textAlignment w:val="auto"/>
        <w:rPr>
          <w:rFonts w:ascii="Times New Roman" w:hAnsi="Times New Roman" w:cs="Times New Roman"/>
          <w:color w:val="auto"/>
          <w:sz w:val="24"/>
          <w:szCs w:val="24"/>
        </w:rPr>
      </w:pPr>
      <w:r>
        <w:rPr>
          <w:rFonts w:hint="eastAsia" w:ascii="Times New Roman" w:hAnsi="Times New Roman" w:cs="Times New Roman"/>
          <w:color w:val="auto"/>
          <w:sz w:val="24"/>
          <w:szCs w:val="24"/>
        </w:rPr>
        <w:t>（一）应具备《政府采购法》第二十二条第一款规定的条件；</w:t>
      </w:r>
    </w:p>
    <w:p>
      <w:pPr>
        <w:keepNext w:val="0"/>
        <w:keepLines w:val="0"/>
        <w:pageBreakBefore w:val="0"/>
        <w:kinsoku/>
        <w:wordWrap/>
        <w:overflowPunct/>
        <w:autoSpaceDE/>
        <w:autoSpaceDN/>
        <w:bidi w:val="0"/>
        <w:adjustRightInd/>
        <w:spacing w:line="560" w:lineRule="exact"/>
        <w:ind w:firstLine="480" w:firstLineChars="200"/>
        <w:textAlignment w:val="auto"/>
        <w:rPr>
          <w:rFonts w:ascii="Times New Roman" w:hAnsi="Times New Roman" w:cs="Times New Roman"/>
          <w:color w:val="auto"/>
          <w:sz w:val="24"/>
          <w:szCs w:val="24"/>
        </w:rPr>
      </w:pPr>
      <w:r>
        <w:rPr>
          <w:rFonts w:hint="eastAsia" w:ascii="Times New Roman" w:hAnsi="Times New Roman" w:cs="Times New Roman"/>
          <w:color w:val="auto"/>
          <w:sz w:val="24"/>
          <w:szCs w:val="24"/>
        </w:rPr>
        <w:t>（二）必须是在中国境内依法注册的法人、其他组织或者自然人；</w:t>
      </w:r>
    </w:p>
    <w:p>
      <w:pPr>
        <w:keepNext w:val="0"/>
        <w:keepLines w:val="0"/>
        <w:pageBreakBefore w:val="0"/>
        <w:widowControl/>
        <w:kinsoku/>
        <w:wordWrap/>
        <w:overflowPunct/>
        <w:autoSpaceDE/>
        <w:autoSpaceDN/>
        <w:bidi w:val="0"/>
        <w:adjustRightInd/>
        <w:spacing w:line="560" w:lineRule="exact"/>
        <w:ind w:firstLine="480"/>
        <w:textAlignment w:val="auto"/>
        <w:rPr>
          <w:rFonts w:ascii="宋体" w:hAnsi="宋体" w:cs="宋体"/>
          <w:color w:val="auto"/>
          <w:kern w:val="0"/>
          <w:sz w:val="24"/>
          <w:szCs w:val="24"/>
        </w:rPr>
      </w:pPr>
      <w:r>
        <w:rPr>
          <w:rFonts w:hint="eastAsia" w:ascii="宋体" w:hAnsi="宋体" w:cs="宋体"/>
          <w:color w:val="auto"/>
          <w:kern w:val="0"/>
          <w:sz w:val="24"/>
          <w:szCs w:val="24"/>
        </w:rPr>
        <w:t>（三）具有良好的商业信誉和健全的财务会计制度；</w:t>
      </w:r>
    </w:p>
    <w:p>
      <w:pPr>
        <w:keepNext w:val="0"/>
        <w:keepLines w:val="0"/>
        <w:pageBreakBefore w:val="0"/>
        <w:widowControl/>
        <w:kinsoku/>
        <w:wordWrap/>
        <w:overflowPunct/>
        <w:autoSpaceDE/>
        <w:autoSpaceDN/>
        <w:bidi w:val="0"/>
        <w:adjustRightInd/>
        <w:spacing w:line="560" w:lineRule="exact"/>
        <w:ind w:firstLine="480"/>
        <w:textAlignment w:val="auto"/>
        <w:rPr>
          <w:rFonts w:ascii="宋体" w:hAnsi="宋体" w:cs="宋体"/>
          <w:color w:val="auto"/>
          <w:kern w:val="0"/>
          <w:sz w:val="24"/>
          <w:szCs w:val="24"/>
        </w:rPr>
      </w:pPr>
      <w:r>
        <w:rPr>
          <w:rFonts w:hint="eastAsia" w:ascii="宋体" w:hAnsi="宋体" w:cs="宋体"/>
          <w:color w:val="auto"/>
          <w:kern w:val="0"/>
          <w:sz w:val="24"/>
          <w:szCs w:val="24"/>
        </w:rPr>
        <w:t>（四）具有履行本项目所必需的设备和专业技术能力；</w:t>
      </w:r>
    </w:p>
    <w:p>
      <w:pPr>
        <w:keepNext w:val="0"/>
        <w:keepLines w:val="0"/>
        <w:pageBreakBefore w:val="0"/>
        <w:widowControl/>
        <w:kinsoku/>
        <w:wordWrap/>
        <w:overflowPunct/>
        <w:autoSpaceDE/>
        <w:autoSpaceDN/>
        <w:bidi w:val="0"/>
        <w:adjustRightInd/>
        <w:spacing w:line="560" w:lineRule="exact"/>
        <w:ind w:firstLine="480"/>
        <w:textAlignment w:val="auto"/>
        <w:rPr>
          <w:rFonts w:ascii="宋体" w:hAnsi="宋体" w:cs="宋体"/>
          <w:color w:val="auto"/>
          <w:kern w:val="0"/>
          <w:sz w:val="24"/>
          <w:szCs w:val="24"/>
        </w:rPr>
      </w:pPr>
      <w:r>
        <w:rPr>
          <w:rFonts w:hint="eastAsia" w:ascii="宋体" w:hAnsi="宋体" w:cs="宋体"/>
          <w:color w:val="auto"/>
          <w:kern w:val="0"/>
          <w:sz w:val="24"/>
          <w:szCs w:val="24"/>
        </w:rPr>
        <w:t>（五）供应商营业执照经营范围包括“园林绿化”，拟派项目负责人应具备市政公用工程二级建造师或园林专业中级职称及以上证书，具有多年的园林从业经验。</w:t>
      </w:r>
    </w:p>
    <w:p>
      <w:pPr>
        <w:keepNext w:val="0"/>
        <w:keepLines w:val="0"/>
        <w:pageBreakBefore w:val="0"/>
        <w:widowControl/>
        <w:kinsoku/>
        <w:wordWrap/>
        <w:overflowPunct/>
        <w:autoSpaceDE/>
        <w:autoSpaceDN/>
        <w:bidi w:val="0"/>
        <w:adjustRightInd/>
        <w:spacing w:line="560" w:lineRule="exact"/>
        <w:ind w:firstLine="480"/>
        <w:textAlignment w:val="auto"/>
        <w:rPr>
          <w:rFonts w:ascii="宋体" w:hAnsi="宋体" w:cs="宋体"/>
          <w:color w:val="auto"/>
          <w:kern w:val="0"/>
          <w:sz w:val="24"/>
          <w:szCs w:val="24"/>
        </w:rPr>
      </w:pPr>
      <w:r>
        <w:rPr>
          <w:rFonts w:hint="eastAsia" w:ascii="宋体" w:hAnsi="宋体" w:cs="宋体"/>
          <w:color w:val="auto"/>
          <w:kern w:val="0"/>
          <w:sz w:val="24"/>
          <w:szCs w:val="24"/>
        </w:rPr>
        <w:t>（六）近三年（报价截止日前推36个月）独立承担过至少一项类似绿化工程（以合同签订时间为准）；</w:t>
      </w:r>
    </w:p>
    <w:p>
      <w:pPr>
        <w:keepNext w:val="0"/>
        <w:keepLines w:val="0"/>
        <w:pageBreakBefore w:val="0"/>
        <w:kinsoku/>
        <w:wordWrap/>
        <w:overflowPunct/>
        <w:autoSpaceDE/>
        <w:autoSpaceDN/>
        <w:bidi w:val="0"/>
        <w:adjustRightInd/>
        <w:spacing w:line="560" w:lineRule="exact"/>
        <w:ind w:firstLine="480" w:firstLineChars="200"/>
        <w:textAlignment w:val="auto"/>
        <w:rPr>
          <w:rFonts w:hint="eastAsia" w:ascii="Times New Roman" w:hAnsi="Times New Roman" w:cs="Times New Roman"/>
          <w:color w:val="auto"/>
          <w:sz w:val="24"/>
          <w:szCs w:val="24"/>
        </w:rPr>
      </w:pPr>
      <w:r>
        <w:rPr>
          <w:rFonts w:hint="eastAsia" w:ascii="Times New Roman" w:hAnsi="Times New Roman" w:cs="Times New Roman"/>
          <w:color w:val="auto"/>
          <w:sz w:val="24"/>
          <w:szCs w:val="24"/>
        </w:rPr>
        <w:t>（</w:t>
      </w:r>
      <w:r>
        <w:rPr>
          <w:rFonts w:hint="eastAsia" w:ascii="Times New Roman" w:hAnsi="Times New Roman" w:cs="Times New Roman"/>
          <w:color w:val="auto"/>
          <w:sz w:val="24"/>
          <w:szCs w:val="24"/>
          <w:lang w:val="en-US" w:eastAsia="zh-CN"/>
        </w:rPr>
        <w:t>七</w:t>
      </w:r>
      <w:r>
        <w:rPr>
          <w:rFonts w:hint="eastAsia" w:ascii="Times New Roman" w:hAnsi="Times New Roman" w:cs="Times New Roman"/>
          <w:color w:val="auto"/>
          <w:sz w:val="24"/>
          <w:szCs w:val="24"/>
        </w:rPr>
        <w:t>）供应商未列入“信用中国”网站（www.creditchina.gov.cn）失信被执行人、重大税收违法失信主体、政府采购严重违法失信行为记录名单和“中国政府采购”网站（www.ccgp.gov.cn）政府采购严重违法失信行为记录名单，供应商提供查询结果页面截图；</w:t>
      </w:r>
    </w:p>
    <w:p>
      <w:pPr>
        <w:keepNext w:val="0"/>
        <w:keepLines w:val="0"/>
        <w:pageBreakBefore w:val="0"/>
        <w:kinsoku/>
        <w:wordWrap/>
        <w:overflowPunct/>
        <w:autoSpaceDE/>
        <w:autoSpaceDN/>
        <w:bidi w:val="0"/>
        <w:adjustRightInd/>
        <w:spacing w:line="560" w:lineRule="exact"/>
        <w:ind w:firstLine="480" w:firstLineChars="200"/>
        <w:textAlignment w:val="auto"/>
        <w:rPr>
          <w:rFonts w:hint="eastAsia" w:ascii="Times New Roman" w:hAnsi="Times New Roman" w:cs="Times New Roman"/>
          <w:color w:val="auto"/>
          <w:sz w:val="24"/>
          <w:szCs w:val="24"/>
        </w:rPr>
      </w:pPr>
      <w:r>
        <w:rPr>
          <w:rFonts w:hint="eastAsia" w:ascii="Times New Roman" w:hAnsi="Times New Roman" w:cs="Times New Roman"/>
          <w:color w:val="auto"/>
          <w:sz w:val="24"/>
          <w:szCs w:val="24"/>
        </w:rPr>
        <w:t>（</w:t>
      </w:r>
      <w:r>
        <w:rPr>
          <w:rFonts w:hint="eastAsia" w:ascii="Times New Roman" w:hAnsi="Times New Roman" w:cs="Times New Roman"/>
          <w:color w:val="auto"/>
          <w:sz w:val="24"/>
          <w:szCs w:val="24"/>
          <w:lang w:val="en-US" w:eastAsia="zh-CN"/>
        </w:rPr>
        <w:t>八</w:t>
      </w:r>
      <w:r>
        <w:rPr>
          <w:rFonts w:hint="eastAsia" w:ascii="Times New Roman" w:hAnsi="Times New Roman" w:cs="Times New Roman"/>
          <w:color w:val="auto"/>
          <w:sz w:val="24"/>
          <w:szCs w:val="24"/>
        </w:rPr>
        <w:t>）供应商近三年内无行贿犯罪行为记录，提供企业法人、法定代表人及拟派项目</w:t>
      </w:r>
      <w:r>
        <w:rPr>
          <w:rFonts w:hint="eastAsia" w:ascii="Times New Roman" w:hAnsi="Times New Roman" w:cs="Times New Roman"/>
          <w:color w:val="auto"/>
          <w:sz w:val="24"/>
          <w:szCs w:val="24"/>
          <w:lang w:val="en-US" w:eastAsia="zh-CN"/>
        </w:rPr>
        <w:t>负责人</w:t>
      </w:r>
      <w:r>
        <w:rPr>
          <w:rFonts w:hint="eastAsia" w:ascii="Times New Roman" w:hAnsi="Times New Roman" w:cs="Times New Roman"/>
          <w:color w:val="auto"/>
          <w:sz w:val="24"/>
          <w:szCs w:val="24"/>
        </w:rPr>
        <w:t>无行贿犯罪行为承诺函；</w:t>
      </w:r>
    </w:p>
    <w:p>
      <w:pPr>
        <w:keepNext w:val="0"/>
        <w:keepLines w:val="0"/>
        <w:pageBreakBefore w:val="0"/>
        <w:kinsoku/>
        <w:wordWrap/>
        <w:overflowPunct/>
        <w:autoSpaceDE/>
        <w:autoSpaceDN/>
        <w:bidi w:val="0"/>
        <w:adjustRightInd/>
        <w:spacing w:line="560" w:lineRule="exact"/>
        <w:ind w:firstLine="480" w:firstLineChars="200"/>
        <w:textAlignment w:val="auto"/>
        <w:rPr>
          <w:rFonts w:hint="eastAsia" w:ascii="Times New Roman" w:hAnsi="Times New Roman" w:cs="Times New Roman"/>
          <w:color w:val="auto"/>
          <w:sz w:val="24"/>
          <w:szCs w:val="24"/>
        </w:rPr>
      </w:pPr>
      <w:r>
        <w:rPr>
          <w:rFonts w:hint="eastAsia" w:ascii="Times New Roman" w:hAnsi="Times New Roman" w:cs="Times New Roman"/>
          <w:color w:val="auto"/>
          <w:sz w:val="24"/>
          <w:szCs w:val="24"/>
        </w:rPr>
        <w:t>（</w:t>
      </w:r>
      <w:r>
        <w:rPr>
          <w:rFonts w:hint="eastAsia" w:ascii="Times New Roman" w:hAnsi="Times New Roman" w:cs="Times New Roman"/>
          <w:color w:val="auto"/>
          <w:sz w:val="24"/>
          <w:szCs w:val="24"/>
          <w:lang w:val="en-US" w:eastAsia="zh-CN"/>
        </w:rPr>
        <w:t>九</w:t>
      </w:r>
      <w:r>
        <w:rPr>
          <w:rFonts w:hint="eastAsia" w:ascii="Times New Roman" w:hAnsi="Times New Roman" w:cs="Times New Roman"/>
          <w:color w:val="auto"/>
          <w:sz w:val="24"/>
          <w:szCs w:val="24"/>
        </w:rPr>
        <w:t>）根据恩施州人社函〔2017〕35号“关于落实《恩施州建设领域劳动者工资支付保障实施办法》相关规定的意见的补充通知”规定供应商在本项目投标文件递交截止时，不得出现因拖欠劳动者工资受到行政处理处罚尚在处理处罚期限内的或者因拖欠劳动者工资经人民法院判决且未执行完毕的或者未自觉履行完毕的情形（投标文件中应作出书面承诺，否则其投标将被拒绝）；</w:t>
      </w:r>
    </w:p>
    <w:p>
      <w:pPr>
        <w:keepNext w:val="0"/>
        <w:keepLines w:val="0"/>
        <w:pageBreakBefore w:val="0"/>
        <w:kinsoku/>
        <w:wordWrap/>
        <w:overflowPunct/>
        <w:autoSpaceDE/>
        <w:autoSpaceDN/>
        <w:bidi w:val="0"/>
        <w:adjustRightInd/>
        <w:spacing w:line="560" w:lineRule="exact"/>
        <w:ind w:firstLine="480" w:firstLineChars="200"/>
        <w:textAlignment w:val="auto"/>
        <w:rPr>
          <w:rFonts w:ascii="Times New Roman" w:hAnsi="Times New Roman" w:cs="Times New Roman"/>
          <w:color w:val="auto"/>
          <w:sz w:val="24"/>
          <w:szCs w:val="24"/>
        </w:rPr>
      </w:pPr>
      <w:r>
        <w:rPr>
          <w:rFonts w:hint="eastAsia" w:ascii="Times New Roman" w:hAnsi="Times New Roman" w:cs="Times New Roman"/>
          <w:color w:val="auto"/>
          <w:sz w:val="24"/>
          <w:szCs w:val="24"/>
        </w:rPr>
        <w:t>（</w:t>
      </w:r>
      <w:r>
        <w:rPr>
          <w:rFonts w:hint="eastAsia" w:ascii="Times New Roman" w:hAnsi="Times New Roman" w:cs="Times New Roman"/>
          <w:color w:val="auto"/>
          <w:sz w:val="24"/>
          <w:szCs w:val="24"/>
          <w:lang w:val="en-US" w:eastAsia="zh-CN"/>
        </w:rPr>
        <w:t>十</w:t>
      </w:r>
      <w:r>
        <w:rPr>
          <w:rFonts w:hint="eastAsia" w:ascii="Times New Roman" w:hAnsi="Times New Roman" w:cs="Times New Roman"/>
          <w:color w:val="auto"/>
          <w:sz w:val="24"/>
          <w:szCs w:val="24"/>
        </w:rPr>
        <w:t>）本项目不接受供应商以联合体形式参与磋商。</w:t>
      </w:r>
    </w:p>
    <w:p>
      <w:pPr>
        <w:keepNext w:val="0"/>
        <w:keepLines w:val="0"/>
        <w:pageBreakBefore w:val="0"/>
        <w:kinsoku/>
        <w:wordWrap/>
        <w:overflowPunct/>
        <w:autoSpaceDE/>
        <w:autoSpaceDN/>
        <w:bidi w:val="0"/>
        <w:adjustRightInd/>
        <w:spacing w:line="560" w:lineRule="exact"/>
        <w:ind w:firstLine="480"/>
        <w:textAlignment w:val="auto"/>
        <w:outlineLvl w:val="0"/>
        <w:rPr>
          <w:rFonts w:ascii="Times New Roman" w:hAnsi="Times New Roman" w:cs="Times New Roman"/>
          <w:color w:val="auto"/>
          <w:sz w:val="24"/>
        </w:rPr>
      </w:pPr>
      <w:r>
        <w:rPr>
          <w:rFonts w:hint="eastAsia" w:ascii="Times New Roman" w:hAnsi="Times New Roman" w:cs="Times New Roman"/>
          <w:color w:val="auto"/>
          <w:sz w:val="24"/>
        </w:rPr>
        <w:t>七</w:t>
      </w:r>
      <w:r>
        <w:rPr>
          <w:rFonts w:ascii="Times New Roman" w:hAnsi="Times New Roman" w:cs="Times New Roman"/>
          <w:color w:val="auto"/>
          <w:sz w:val="24"/>
        </w:rPr>
        <w:t>、竞争性磋商文件的获得</w:t>
      </w:r>
    </w:p>
    <w:p>
      <w:pPr>
        <w:keepNext w:val="0"/>
        <w:keepLines w:val="0"/>
        <w:pageBreakBefore w:val="0"/>
        <w:kinsoku/>
        <w:wordWrap/>
        <w:overflowPunct/>
        <w:topLinePunct/>
        <w:autoSpaceDE/>
        <w:autoSpaceDN/>
        <w:bidi w:val="0"/>
        <w:adjustRightInd/>
        <w:spacing w:line="560" w:lineRule="exact"/>
        <w:ind w:firstLine="480" w:firstLineChars="200"/>
        <w:textAlignment w:val="auto"/>
        <w:rPr>
          <w:rFonts w:ascii="Times New Roman" w:hAnsi="Times New Roman" w:cs="Times New Roman"/>
          <w:color w:val="auto"/>
          <w:sz w:val="24"/>
          <w:lang w:bidi="ar-EG"/>
        </w:rPr>
      </w:pPr>
      <w:r>
        <w:rPr>
          <w:rFonts w:ascii="Times New Roman" w:hAnsi="Times New Roman" w:cs="Times New Roman"/>
          <w:color w:val="auto"/>
          <w:sz w:val="24"/>
          <w:lang w:bidi="ar-EG"/>
        </w:rPr>
        <w:t>（一）</w:t>
      </w:r>
      <w:r>
        <w:rPr>
          <w:rFonts w:hint="eastAsia" w:ascii="Times New Roman" w:hAnsi="Times New Roman" w:cs="Times New Roman"/>
          <w:color w:val="auto"/>
          <w:sz w:val="24"/>
          <w:lang w:bidi="ar-EG"/>
        </w:rPr>
        <w:t>报名</w:t>
      </w:r>
      <w:r>
        <w:rPr>
          <w:rFonts w:ascii="Times New Roman" w:hAnsi="Times New Roman" w:cs="Times New Roman"/>
          <w:color w:val="auto"/>
          <w:sz w:val="24"/>
          <w:lang w:bidi="ar-EG"/>
        </w:rPr>
        <w:t>时间：</w:t>
      </w:r>
      <w:r>
        <w:rPr>
          <w:rFonts w:hint="eastAsia" w:ascii="Times New Roman" w:hAnsi="Times New Roman" w:cs="Times New Roman"/>
          <w:color w:val="auto"/>
          <w:sz w:val="24"/>
          <w:lang w:val="en-US" w:eastAsia="zh-CN" w:bidi="ar-EG"/>
        </w:rPr>
        <w:t>2024</w:t>
      </w:r>
      <w:r>
        <w:rPr>
          <w:rFonts w:hint="eastAsia" w:ascii="Times New Roman" w:hAnsi="Times New Roman" w:cs="Times New Roman"/>
          <w:color w:val="auto"/>
          <w:sz w:val="24"/>
          <w:lang w:bidi="ar-EG"/>
        </w:rPr>
        <w:t>年</w:t>
      </w:r>
      <w:r>
        <w:rPr>
          <w:rFonts w:hint="eastAsia" w:ascii="Times New Roman" w:hAnsi="Times New Roman" w:cs="Times New Roman"/>
          <w:color w:val="auto"/>
          <w:sz w:val="24"/>
          <w:lang w:val="en-US" w:eastAsia="zh-CN" w:bidi="ar-EG"/>
        </w:rPr>
        <w:t>5</w:t>
      </w:r>
      <w:r>
        <w:rPr>
          <w:rFonts w:hint="eastAsia" w:ascii="Times New Roman" w:hAnsi="Times New Roman" w:cs="Times New Roman"/>
          <w:color w:val="auto"/>
          <w:sz w:val="24"/>
          <w:lang w:bidi="ar-EG"/>
        </w:rPr>
        <w:t>月</w:t>
      </w:r>
      <w:r>
        <w:rPr>
          <w:rFonts w:hint="eastAsia" w:ascii="Times New Roman" w:hAnsi="Times New Roman" w:cs="Times New Roman"/>
          <w:color w:val="auto"/>
          <w:sz w:val="24"/>
          <w:lang w:val="en-US" w:eastAsia="zh-CN" w:bidi="ar-EG"/>
        </w:rPr>
        <w:t>30</w:t>
      </w:r>
      <w:r>
        <w:rPr>
          <w:rFonts w:hint="eastAsia" w:ascii="Times New Roman" w:hAnsi="Times New Roman" w:cs="Times New Roman"/>
          <w:color w:val="auto"/>
          <w:sz w:val="24"/>
          <w:lang w:bidi="ar-EG"/>
        </w:rPr>
        <w:t>日-</w:t>
      </w:r>
      <w:r>
        <w:rPr>
          <w:rFonts w:hint="eastAsia" w:ascii="Times New Roman" w:hAnsi="Times New Roman" w:cs="Times New Roman"/>
          <w:color w:val="auto"/>
          <w:sz w:val="24"/>
          <w:lang w:val="en-US" w:eastAsia="zh-CN" w:bidi="ar-EG"/>
        </w:rPr>
        <w:t>2024</w:t>
      </w:r>
      <w:r>
        <w:rPr>
          <w:rFonts w:hint="eastAsia" w:ascii="Times New Roman" w:hAnsi="Times New Roman" w:cs="Times New Roman"/>
          <w:color w:val="auto"/>
          <w:sz w:val="24"/>
          <w:lang w:bidi="ar-EG"/>
        </w:rPr>
        <w:t>年</w:t>
      </w:r>
      <w:r>
        <w:rPr>
          <w:rFonts w:hint="eastAsia" w:ascii="Times New Roman" w:hAnsi="Times New Roman" w:cs="Times New Roman"/>
          <w:color w:val="auto"/>
          <w:sz w:val="24"/>
          <w:lang w:val="en-US" w:eastAsia="zh-CN" w:bidi="ar-EG"/>
        </w:rPr>
        <w:t>6</w:t>
      </w:r>
      <w:r>
        <w:rPr>
          <w:rFonts w:hint="eastAsia" w:ascii="Times New Roman" w:hAnsi="Times New Roman" w:cs="Times New Roman"/>
          <w:color w:val="auto"/>
          <w:sz w:val="24"/>
          <w:lang w:bidi="ar-EG"/>
        </w:rPr>
        <w:t>月</w:t>
      </w:r>
      <w:r>
        <w:rPr>
          <w:rFonts w:hint="eastAsia" w:ascii="Times New Roman" w:hAnsi="Times New Roman" w:cs="Times New Roman"/>
          <w:color w:val="auto"/>
          <w:sz w:val="24"/>
          <w:lang w:val="en-US" w:eastAsia="zh-CN" w:bidi="ar-EG"/>
        </w:rPr>
        <w:t>3</w:t>
      </w:r>
      <w:r>
        <w:rPr>
          <w:rFonts w:hint="eastAsia" w:ascii="Times New Roman" w:hAnsi="Times New Roman" w:cs="Times New Roman"/>
          <w:color w:val="auto"/>
          <w:sz w:val="24"/>
          <w:lang w:bidi="ar-EG"/>
        </w:rPr>
        <w:t>日止（法定公休日、法定节假日不休），每日上午8:30时至12:00时，下午14:30时至17:00时（北京时间，下同）。</w:t>
      </w:r>
    </w:p>
    <w:p>
      <w:pPr>
        <w:keepNext w:val="0"/>
        <w:keepLines w:val="0"/>
        <w:pageBreakBefore w:val="0"/>
        <w:kinsoku/>
        <w:wordWrap/>
        <w:overflowPunct/>
        <w:topLinePunct/>
        <w:autoSpaceDE/>
        <w:autoSpaceDN/>
        <w:bidi w:val="0"/>
        <w:adjustRightInd/>
        <w:spacing w:line="560" w:lineRule="exact"/>
        <w:ind w:firstLine="480" w:firstLineChars="200"/>
        <w:textAlignment w:val="auto"/>
        <w:rPr>
          <w:rFonts w:ascii="宋体" w:hAnsi="宋体" w:eastAsia="宋体" w:cs="宋体"/>
          <w:color w:val="auto"/>
          <w:kern w:val="0"/>
          <w:sz w:val="24"/>
          <w:szCs w:val="24"/>
        </w:rPr>
      </w:pPr>
      <w:r>
        <w:rPr>
          <w:rFonts w:ascii="Times New Roman" w:hAnsi="Times New Roman" w:cs="Times New Roman"/>
          <w:color w:val="auto"/>
          <w:sz w:val="24"/>
          <w:lang w:bidi="ar-EG"/>
        </w:rPr>
        <w:t>（二）</w:t>
      </w:r>
      <w:r>
        <w:rPr>
          <w:rFonts w:hint="eastAsia" w:ascii="Times New Roman" w:hAnsi="Times New Roman" w:cs="Times New Roman"/>
          <w:color w:val="auto"/>
          <w:sz w:val="24"/>
          <w:lang w:bidi="ar-EG"/>
        </w:rPr>
        <w:t>报名</w:t>
      </w:r>
      <w:r>
        <w:rPr>
          <w:rFonts w:ascii="Times New Roman" w:hAnsi="Times New Roman" w:cs="Times New Roman"/>
          <w:color w:val="auto"/>
          <w:sz w:val="24"/>
          <w:lang w:bidi="ar-EG"/>
        </w:rPr>
        <w:t>方式：</w:t>
      </w:r>
      <w:r>
        <w:rPr>
          <w:rFonts w:hint="eastAsia" w:ascii="宋体" w:hAnsi="宋体" w:eastAsia="宋体" w:cs="宋体"/>
          <w:color w:val="auto"/>
          <w:kern w:val="0"/>
          <w:sz w:val="24"/>
          <w:szCs w:val="24"/>
        </w:rPr>
        <w:t>请有意向的供应商在报名时间内持法定代表人授权委托书原件、委托代理人身份证、营业执照副本（三证合一）、项目负责人职称证复印件加盖公司鲜章一套到报名地点填写《报名登记表》，</w:t>
      </w:r>
      <w:r>
        <w:rPr>
          <w:rFonts w:ascii="宋体" w:hAnsi="宋体" w:eastAsia="宋体" w:cs="宋体"/>
          <w:color w:val="auto"/>
          <w:kern w:val="0"/>
          <w:sz w:val="24"/>
          <w:szCs w:val="24"/>
        </w:rPr>
        <w:t>须保证所填写内容真实、完整、有效、一致，如因潜在</w:t>
      </w:r>
      <w:r>
        <w:rPr>
          <w:rFonts w:hint="eastAsia" w:ascii="宋体" w:hAnsi="宋体" w:eastAsia="宋体" w:cs="宋体"/>
          <w:color w:val="auto"/>
          <w:kern w:val="0"/>
          <w:sz w:val="24"/>
          <w:szCs w:val="24"/>
        </w:rPr>
        <w:t>投标人</w:t>
      </w:r>
      <w:r>
        <w:rPr>
          <w:rFonts w:ascii="宋体" w:hAnsi="宋体" w:eastAsia="宋体" w:cs="宋体"/>
          <w:color w:val="auto"/>
          <w:kern w:val="0"/>
          <w:sz w:val="24"/>
          <w:szCs w:val="24"/>
        </w:rPr>
        <w:t>填写信息错误导致的与本项目有关的任何损失由潜在</w:t>
      </w:r>
      <w:r>
        <w:rPr>
          <w:rFonts w:hint="eastAsia" w:ascii="宋体" w:hAnsi="宋体" w:eastAsia="宋体" w:cs="宋体"/>
          <w:color w:val="auto"/>
          <w:kern w:val="0"/>
          <w:sz w:val="24"/>
          <w:szCs w:val="24"/>
        </w:rPr>
        <w:t>投标人</w:t>
      </w:r>
      <w:r>
        <w:rPr>
          <w:rFonts w:ascii="宋体" w:hAnsi="宋体" w:eastAsia="宋体" w:cs="宋体"/>
          <w:color w:val="auto"/>
          <w:kern w:val="0"/>
          <w:sz w:val="24"/>
          <w:szCs w:val="24"/>
        </w:rPr>
        <w:t>承担。</w:t>
      </w:r>
    </w:p>
    <w:p>
      <w:pPr>
        <w:keepNext w:val="0"/>
        <w:keepLines w:val="0"/>
        <w:pageBreakBefore w:val="0"/>
        <w:kinsoku/>
        <w:wordWrap/>
        <w:overflowPunct/>
        <w:topLinePunct/>
        <w:autoSpaceDE/>
        <w:autoSpaceDN/>
        <w:bidi w:val="0"/>
        <w:adjustRightInd/>
        <w:spacing w:line="560" w:lineRule="exact"/>
        <w:ind w:firstLine="480" w:firstLineChars="200"/>
        <w:textAlignment w:val="auto"/>
        <w:rPr>
          <w:rFonts w:ascii="宋体" w:hAnsi="宋体" w:eastAsia="宋体" w:cs="Times New Roman"/>
          <w:color w:val="auto"/>
          <w:kern w:val="0"/>
          <w:sz w:val="24"/>
          <w:szCs w:val="24"/>
        </w:rPr>
      </w:pPr>
      <w:r>
        <w:rPr>
          <w:rFonts w:ascii="宋体" w:hAnsi="宋体" w:cs="宋体"/>
          <w:color w:val="auto"/>
          <w:kern w:val="0"/>
          <w:sz w:val="24"/>
          <w:szCs w:val="24"/>
        </w:rPr>
        <w:t>报名地点</w:t>
      </w:r>
      <w:r>
        <w:rPr>
          <w:rFonts w:hint="eastAsia" w:ascii="宋体" w:hAnsi="宋体" w:cs="宋体"/>
          <w:color w:val="auto"/>
          <w:kern w:val="0"/>
          <w:sz w:val="24"/>
          <w:szCs w:val="24"/>
        </w:rPr>
        <w:t>：</w:t>
      </w:r>
      <w:r>
        <w:rPr>
          <w:rFonts w:hint="eastAsia" w:ascii="宋体" w:hAnsi="宋体"/>
          <w:color w:val="auto"/>
          <w:kern w:val="0"/>
          <w:sz w:val="24"/>
          <w:szCs w:val="24"/>
        </w:rPr>
        <w:t>湖北省恩施市大峡谷风景区管理</w:t>
      </w:r>
      <w:r>
        <w:rPr>
          <w:rFonts w:hint="eastAsia" w:ascii="宋体" w:hAnsi="宋体"/>
          <w:color w:val="auto"/>
          <w:kern w:val="0"/>
          <w:sz w:val="24"/>
          <w:szCs w:val="24"/>
          <w:lang w:val="en-US" w:eastAsia="zh-CN"/>
        </w:rPr>
        <w:t>中心恩施大峡谷景区办公楼鄂旅股份大峡谷事业部综合服务部。</w:t>
      </w:r>
      <w:r>
        <w:rPr>
          <w:rFonts w:hint="eastAsia" w:ascii="宋体" w:hAnsi="宋体" w:eastAsia="宋体"/>
          <w:color w:val="auto"/>
          <w:kern w:val="0"/>
          <w:sz w:val="24"/>
          <w:szCs w:val="24"/>
        </w:rPr>
        <w:t>本项目不接受传真、电话、邮寄、电邮方式报名。</w:t>
      </w:r>
    </w:p>
    <w:p>
      <w:pPr>
        <w:keepNext w:val="0"/>
        <w:keepLines w:val="0"/>
        <w:pageBreakBefore w:val="0"/>
        <w:kinsoku/>
        <w:wordWrap/>
        <w:overflowPunct/>
        <w:autoSpaceDE/>
        <w:autoSpaceDN/>
        <w:bidi w:val="0"/>
        <w:adjustRightInd/>
        <w:spacing w:line="560" w:lineRule="exact"/>
        <w:ind w:firstLine="480"/>
        <w:textAlignment w:val="auto"/>
        <w:rPr>
          <w:rFonts w:ascii="Times New Roman" w:hAnsi="Times New Roman" w:cs="Times New Roman"/>
          <w:color w:val="auto"/>
          <w:sz w:val="24"/>
          <w:lang w:val="hr-HR" w:bidi="ar-EG"/>
        </w:rPr>
      </w:pPr>
      <w:r>
        <w:rPr>
          <w:rFonts w:ascii="Times New Roman" w:hAnsi="Times New Roman" w:cs="Times New Roman"/>
          <w:color w:val="auto"/>
          <w:sz w:val="24"/>
          <w:lang w:val="hr-HR" w:bidi="ar-EG"/>
        </w:rPr>
        <w:t>八、递交响应文件截止时间和磋商时间</w:t>
      </w:r>
    </w:p>
    <w:p>
      <w:pPr>
        <w:keepNext w:val="0"/>
        <w:keepLines w:val="0"/>
        <w:pageBreakBefore w:val="0"/>
        <w:kinsoku/>
        <w:wordWrap/>
        <w:overflowPunct/>
        <w:autoSpaceDE/>
        <w:autoSpaceDN/>
        <w:bidi w:val="0"/>
        <w:adjustRightInd/>
        <w:spacing w:line="560" w:lineRule="exact"/>
        <w:ind w:firstLine="480"/>
        <w:textAlignment w:val="auto"/>
        <w:rPr>
          <w:rFonts w:ascii="Times New Roman" w:hAnsi="Times New Roman" w:cs="Times New Roman"/>
          <w:color w:val="auto"/>
          <w:sz w:val="24"/>
          <w:lang w:val="hr-HR" w:bidi="ar-EG"/>
        </w:rPr>
      </w:pPr>
      <w:r>
        <w:rPr>
          <w:rFonts w:ascii="Times New Roman" w:hAnsi="Times New Roman" w:cs="Times New Roman"/>
          <w:color w:val="auto"/>
          <w:sz w:val="24"/>
          <w:lang w:val="hr-HR" w:bidi="ar-EG"/>
        </w:rPr>
        <w:t>递交响应文件截止时间：</w:t>
      </w:r>
      <w:r>
        <w:rPr>
          <w:rFonts w:hint="eastAsia" w:ascii="Times New Roman" w:hAnsi="Times New Roman" w:cs="Times New Roman"/>
          <w:color w:val="auto"/>
          <w:sz w:val="24"/>
          <w:lang w:val="en-US" w:eastAsia="zh-CN" w:bidi="ar-EG"/>
        </w:rPr>
        <w:t>2024</w:t>
      </w:r>
      <w:r>
        <w:rPr>
          <w:rFonts w:ascii="Times New Roman" w:hAnsi="Times New Roman" w:cs="Times New Roman"/>
          <w:color w:val="auto"/>
          <w:sz w:val="24"/>
          <w:lang w:val="hr-HR" w:bidi="ar-EG"/>
        </w:rPr>
        <w:t>年</w:t>
      </w:r>
      <w:r>
        <w:rPr>
          <w:rFonts w:hint="eastAsia" w:ascii="Times New Roman" w:hAnsi="Times New Roman" w:cs="Times New Roman"/>
          <w:color w:val="auto"/>
          <w:sz w:val="24"/>
          <w:lang w:val="en-US" w:eastAsia="zh-CN" w:bidi="ar-EG"/>
        </w:rPr>
        <w:t xml:space="preserve">6 </w:t>
      </w:r>
      <w:r>
        <w:rPr>
          <w:rFonts w:ascii="Times New Roman" w:hAnsi="Times New Roman" w:cs="Times New Roman"/>
          <w:color w:val="auto"/>
          <w:sz w:val="24"/>
          <w:lang w:val="hr-HR" w:bidi="ar-EG"/>
        </w:rPr>
        <w:t>月</w:t>
      </w:r>
      <w:r>
        <w:rPr>
          <w:rFonts w:hint="eastAsia" w:ascii="Times New Roman" w:hAnsi="Times New Roman" w:cs="Times New Roman"/>
          <w:color w:val="auto"/>
          <w:sz w:val="24"/>
          <w:lang w:val="en-US" w:eastAsia="zh-CN" w:bidi="ar-EG"/>
        </w:rPr>
        <w:t>11</w:t>
      </w:r>
      <w:r>
        <w:rPr>
          <w:rFonts w:ascii="Times New Roman" w:hAnsi="Times New Roman" w:cs="Times New Roman"/>
          <w:color w:val="auto"/>
          <w:sz w:val="24"/>
          <w:lang w:val="hr-HR" w:bidi="ar-EG"/>
        </w:rPr>
        <w:t>日</w:t>
      </w:r>
      <w:r>
        <w:rPr>
          <w:rFonts w:hint="eastAsia" w:ascii="Times New Roman" w:hAnsi="Times New Roman" w:cs="Times New Roman"/>
          <w:color w:val="auto"/>
          <w:sz w:val="24"/>
          <w:lang w:val="en-US" w:eastAsia="zh-CN" w:bidi="ar-EG"/>
        </w:rPr>
        <w:t>上</w:t>
      </w:r>
      <w:r>
        <w:rPr>
          <w:rFonts w:hint="eastAsia" w:ascii="Times New Roman" w:hAnsi="Times New Roman" w:cs="Times New Roman"/>
          <w:color w:val="auto"/>
          <w:sz w:val="24"/>
          <w:lang w:val="hr-HR" w:bidi="ar-EG"/>
        </w:rPr>
        <w:t>午</w:t>
      </w:r>
      <w:r>
        <w:rPr>
          <w:rFonts w:hint="eastAsia" w:ascii="Times New Roman" w:hAnsi="Times New Roman" w:cs="Times New Roman"/>
          <w:color w:val="auto"/>
          <w:sz w:val="24"/>
          <w:lang w:val="en-US" w:eastAsia="zh-CN" w:bidi="ar-EG"/>
        </w:rPr>
        <w:t>10</w:t>
      </w:r>
      <w:r>
        <w:rPr>
          <w:rFonts w:ascii="Times New Roman" w:hAnsi="Times New Roman" w:cs="Times New Roman"/>
          <w:color w:val="auto"/>
          <w:sz w:val="24"/>
          <w:lang w:val="hr-HR" w:bidi="ar-EG"/>
        </w:rPr>
        <w:t>:</w:t>
      </w:r>
      <w:r>
        <w:rPr>
          <w:rFonts w:hint="eastAsia" w:ascii="Times New Roman" w:hAnsi="Times New Roman" w:cs="Times New Roman"/>
          <w:color w:val="auto"/>
          <w:sz w:val="24"/>
          <w:lang w:val="en-US" w:eastAsia="zh-CN" w:bidi="ar-EG"/>
        </w:rPr>
        <w:t>00</w:t>
      </w:r>
      <w:r>
        <w:rPr>
          <w:rFonts w:ascii="Times New Roman" w:hAnsi="Times New Roman" w:cs="Times New Roman"/>
          <w:color w:val="auto"/>
          <w:sz w:val="24"/>
          <w:lang w:val="hr-HR" w:bidi="ar-EG"/>
        </w:rPr>
        <w:t>时整（</w:t>
      </w:r>
      <w:r>
        <w:rPr>
          <w:rFonts w:hint="eastAsia" w:ascii="Times New Roman" w:hAnsi="Times New Roman" w:cs="Times New Roman"/>
          <w:color w:val="auto"/>
          <w:sz w:val="24"/>
          <w:lang w:val="en-US" w:eastAsia="zh-CN" w:bidi="ar-EG"/>
        </w:rPr>
        <w:t>9</w:t>
      </w:r>
      <w:r>
        <w:rPr>
          <w:rFonts w:ascii="Times New Roman" w:hAnsi="Times New Roman" w:cs="Times New Roman"/>
          <w:color w:val="auto"/>
          <w:sz w:val="24"/>
          <w:lang w:val="hr-HR" w:bidi="ar-EG"/>
        </w:rPr>
        <w:t>:</w:t>
      </w:r>
      <w:r>
        <w:rPr>
          <w:rFonts w:hint="eastAsia" w:ascii="Times New Roman" w:hAnsi="Times New Roman" w:cs="Times New Roman"/>
          <w:color w:val="auto"/>
          <w:sz w:val="24"/>
          <w:lang w:val="en-US" w:eastAsia="zh-CN" w:bidi="ar-EG"/>
        </w:rPr>
        <w:t>3</w:t>
      </w:r>
      <w:r>
        <w:rPr>
          <w:rFonts w:ascii="Times New Roman" w:hAnsi="Times New Roman" w:cs="Times New Roman"/>
          <w:color w:val="auto"/>
          <w:sz w:val="24"/>
          <w:lang w:bidi="ar-EG"/>
        </w:rPr>
        <w:t>0</w:t>
      </w:r>
      <w:r>
        <w:rPr>
          <w:rFonts w:ascii="Times New Roman" w:hAnsi="Times New Roman" w:cs="Times New Roman"/>
          <w:color w:val="auto"/>
          <w:sz w:val="24"/>
          <w:lang w:val="hr-HR" w:bidi="ar-EG"/>
        </w:rPr>
        <w:t>时开始接受响应文件）。</w:t>
      </w:r>
    </w:p>
    <w:p>
      <w:pPr>
        <w:keepNext w:val="0"/>
        <w:keepLines w:val="0"/>
        <w:pageBreakBefore w:val="0"/>
        <w:kinsoku/>
        <w:wordWrap/>
        <w:overflowPunct/>
        <w:autoSpaceDE/>
        <w:autoSpaceDN/>
        <w:bidi w:val="0"/>
        <w:adjustRightInd/>
        <w:spacing w:line="560" w:lineRule="exact"/>
        <w:ind w:firstLine="480"/>
        <w:textAlignment w:val="auto"/>
        <w:rPr>
          <w:rFonts w:ascii="Times New Roman" w:hAnsi="Times New Roman" w:cs="Times New Roman"/>
          <w:color w:val="auto"/>
          <w:sz w:val="24"/>
          <w:lang w:val="hr-HR" w:bidi="ar-EG"/>
        </w:rPr>
      </w:pPr>
      <w:r>
        <w:rPr>
          <w:rFonts w:ascii="Times New Roman" w:hAnsi="Times New Roman" w:cs="Times New Roman"/>
          <w:color w:val="auto"/>
          <w:sz w:val="24"/>
          <w:lang w:val="hr-HR" w:bidi="ar-EG"/>
        </w:rPr>
        <w:t>递交响应文件截止时间即为磋商时间，逾期送达的响应文件概不接受。</w:t>
      </w:r>
    </w:p>
    <w:p>
      <w:pPr>
        <w:keepNext w:val="0"/>
        <w:keepLines w:val="0"/>
        <w:pageBreakBefore w:val="0"/>
        <w:kinsoku/>
        <w:wordWrap/>
        <w:overflowPunct/>
        <w:topLinePunct/>
        <w:autoSpaceDE/>
        <w:autoSpaceDN/>
        <w:bidi w:val="0"/>
        <w:adjustRightInd/>
        <w:spacing w:line="560" w:lineRule="exact"/>
        <w:ind w:firstLine="480" w:firstLineChars="200"/>
        <w:textAlignment w:val="auto"/>
        <w:rPr>
          <w:rFonts w:ascii="Times New Roman" w:hAnsi="Times New Roman" w:cs="Times New Roman"/>
          <w:color w:val="auto"/>
          <w:sz w:val="24"/>
          <w:lang w:val="hr-HR" w:bidi="ar-EG"/>
        </w:rPr>
      </w:pPr>
      <w:r>
        <w:rPr>
          <w:rFonts w:ascii="Times New Roman" w:hAnsi="Times New Roman" w:cs="Times New Roman"/>
          <w:color w:val="auto"/>
          <w:sz w:val="24"/>
          <w:lang w:val="hr-HR" w:bidi="ar-EG"/>
        </w:rPr>
        <w:t>九、</w:t>
      </w:r>
      <w:r>
        <w:rPr>
          <w:rFonts w:hint="eastAsia" w:ascii="Times New Roman" w:hAnsi="Times New Roman" w:cs="Times New Roman"/>
          <w:color w:val="auto"/>
          <w:sz w:val="24"/>
          <w:lang w:val="hr-HR" w:bidi="ar-EG"/>
        </w:rPr>
        <w:t>竞争性磋商</w:t>
      </w:r>
      <w:r>
        <w:rPr>
          <w:rFonts w:ascii="Times New Roman" w:hAnsi="Times New Roman" w:cs="Times New Roman"/>
          <w:color w:val="auto"/>
          <w:sz w:val="24"/>
          <w:lang w:val="hr-HR" w:bidi="ar-EG"/>
        </w:rPr>
        <w:t>响应文件及工程量清单获取方式：</w:t>
      </w:r>
      <w:r>
        <w:rPr>
          <w:rFonts w:hint="eastAsia" w:ascii="Times New Roman" w:hAnsi="Times New Roman" w:cs="Times New Roman"/>
          <w:color w:val="auto"/>
          <w:sz w:val="24"/>
          <w:lang w:val="en-US" w:eastAsia="zh-CN" w:bidi="ar-EG"/>
        </w:rPr>
        <w:t>鄂旅股份</w:t>
      </w:r>
      <w:r>
        <w:rPr>
          <w:rFonts w:ascii="Times New Roman" w:hAnsi="Times New Roman" w:cs="Times New Roman"/>
          <w:color w:val="auto"/>
          <w:sz w:val="24"/>
          <w:lang w:val="hr-HR" w:bidi="ar-EG"/>
        </w:rPr>
        <w:t>官网自行下载</w:t>
      </w:r>
      <w:r>
        <w:rPr>
          <w:rFonts w:hint="eastAsia" w:ascii="Times New Roman" w:hAnsi="Times New Roman" w:cs="Times New Roman"/>
          <w:color w:val="auto"/>
          <w:sz w:val="24"/>
          <w:lang w:val="hr-HR" w:bidi="ar-EG"/>
        </w:rPr>
        <w:t>。</w:t>
      </w:r>
    </w:p>
    <w:p>
      <w:pPr>
        <w:keepNext w:val="0"/>
        <w:keepLines w:val="0"/>
        <w:pageBreakBefore w:val="0"/>
        <w:kinsoku/>
        <w:wordWrap/>
        <w:overflowPunct/>
        <w:topLinePunct/>
        <w:autoSpaceDE/>
        <w:autoSpaceDN/>
        <w:bidi w:val="0"/>
        <w:adjustRightInd/>
        <w:spacing w:line="560" w:lineRule="exact"/>
        <w:ind w:firstLine="480" w:firstLineChars="200"/>
        <w:textAlignment w:val="auto"/>
        <w:rPr>
          <w:rFonts w:ascii="Times New Roman" w:hAnsi="Times New Roman" w:cs="Times New Roman"/>
          <w:color w:val="auto"/>
          <w:sz w:val="24"/>
          <w:lang w:val="hr-HR" w:bidi="ar-EG"/>
        </w:rPr>
      </w:pPr>
      <w:r>
        <w:rPr>
          <w:rFonts w:ascii="Times New Roman" w:hAnsi="Times New Roman" w:cs="Times New Roman"/>
          <w:color w:val="auto"/>
          <w:sz w:val="24"/>
          <w:lang w:val="hr-HR" w:bidi="ar-EG"/>
        </w:rPr>
        <w:t>十</w:t>
      </w:r>
      <w:r>
        <w:rPr>
          <w:rFonts w:hint="eastAsia" w:ascii="Times New Roman" w:hAnsi="Times New Roman" w:cs="Times New Roman"/>
          <w:color w:val="auto"/>
          <w:sz w:val="24"/>
          <w:lang w:val="hr-HR" w:eastAsia="zh-CN" w:bidi="ar-EG"/>
        </w:rPr>
        <w:t>、</w:t>
      </w:r>
      <w:r>
        <w:rPr>
          <w:rFonts w:hint="eastAsia" w:ascii="Times New Roman" w:hAnsi="Times New Roman" w:cs="Times New Roman"/>
          <w:color w:val="auto"/>
          <w:sz w:val="24"/>
          <w:lang w:val="hr-HR" w:bidi="ar-EG"/>
        </w:rPr>
        <w:t>竞争性磋商</w:t>
      </w:r>
      <w:r>
        <w:rPr>
          <w:rFonts w:ascii="Times New Roman" w:hAnsi="Times New Roman" w:cs="Times New Roman"/>
          <w:color w:val="auto"/>
          <w:sz w:val="24"/>
          <w:lang w:val="hr-HR" w:bidi="ar-EG"/>
        </w:rPr>
        <w:t>响应文件送达和磋商地点：</w:t>
      </w:r>
      <w:r>
        <w:rPr>
          <w:rFonts w:hint="eastAsia" w:ascii="Times New Roman" w:hAnsi="Times New Roman" w:cs="Times New Roman"/>
          <w:color w:val="auto"/>
          <w:sz w:val="24"/>
          <w:lang w:val="hr-HR" w:bidi="ar-EG"/>
        </w:rPr>
        <w:t>同上报名地点。</w:t>
      </w:r>
      <w:r>
        <w:rPr>
          <w:rFonts w:ascii="Times New Roman" w:hAnsi="Times New Roman" w:cs="Times New Roman"/>
          <w:color w:val="auto"/>
          <w:sz w:val="24"/>
          <w:lang w:val="hr-HR" w:bidi="ar-EG"/>
        </w:rPr>
        <w:t xml:space="preserve"> </w:t>
      </w:r>
    </w:p>
    <w:p>
      <w:pPr>
        <w:keepNext w:val="0"/>
        <w:keepLines w:val="0"/>
        <w:pageBreakBefore w:val="0"/>
        <w:kinsoku/>
        <w:wordWrap/>
        <w:overflowPunct/>
        <w:autoSpaceDE/>
        <w:autoSpaceDN/>
        <w:bidi w:val="0"/>
        <w:adjustRightInd/>
        <w:spacing w:line="560" w:lineRule="exact"/>
        <w:ind w:firstLine="480"/>
        <w:textAlignment w:val="auto"/>
        <w:rPr>
          <w:rFonts w:ascii="Times New Roman" w:hAnsi="Times New Roman" w:cs="Times New Roman"/>
          <w:color w:val="auto"/>
          <w:sz w:val="24"/>
          <w:szCs w:val="24"/>
        </w:rPr>
      </w:pPr>
      <w:r>
        <w:rPr>
          <w:rFonts w:ascii="Times New Roman" w:hAnsi="Times New Roman" w:cs="Times New Roman"/>
          <w:color w:val="auto"/>
          <w:sz w:val="24"/>
          <w:szCs w:val="24"/>
        </w:rPr>
        <w:t>十一、询问和质疑</w:t>
      </w:r>
    </w:p>
    <w:p>
      <w:pPr>
        <w:keepNext w:val="0"/>
        <w:keepLines w:val="0"/>
        <w:pageBreakBefore w:val="0"/>
        <w:kinsoku/>
        <w:wordWrap/>
        <w:overflowPunct/>
        <w:autoSpaceDE/>
        <w:autoSpaceDN/>
        <w:bidi w:val="0"/>
        <w:adjustRightInd/>
        <w:spacing w:line="560" w:lineRule="exact"/>
        <w:ind w:firstLine="480"/>
        <w:textAlignment w:val="auto"/>
        <w:rPr>
          <w:rFonts w:ascii="Times New Roman" w:hAnsi="Times New Roman" w:cs="Times New Roman"/>
          <w:color w:val="auto"/>
          <w:sz w:val="24"/>
          <w:szCs w:val="24"/>
        </w:rPr>
      </w:pPr>
      <w:r>
        <w:rPr>
          <w:rFonts w:ascii="Times New Roman" w:hAnsi="Times New Roman" w:cs="Times New Roman"/>
          <w:color w:val="auto"/>
          <w:sz w:val="24"/>
          <w:szCs w:val="24"/>
        </w:rPr>
        <w:t>相关供应商对磋商文件、磋商过程和成交结果有异议的，可在知道或者应知其权益受到损害之日起7个工作日内，向</w:t>
      </w:r>
      <w:r>
        <w:rPr>
          <w:rFonts w:hint="eastAsia" w:ascii="Times New Roman" w:hAnsi="Times New Roman" w:cs="Times New Roman"/>
          <w:color w:val="auto"/>
          <w:sz w:val="24"/>
          <w:szCs w:val="24"/>
          <w:lang w:val="en-US" w:eastAsia="zh-CN"/>
        </w:rPr>
        <w:t>鄂旅股份大峡谷事业部综合服务部</w:t>
      </w:r>
      <w:r>
        <w:rPr>
          <w:rFonts w:ascii="Times New Roman" w:hAnsi="Times New Roman" w:cs="Times New Roman"/>
          <w:color w:val="auto"/>
          <w:sz w:val="24"/>
          <w:szCs w:val="24"/>
        </w:rPr>
        <w:t>提出询问和质疑。质疑时请提交书面质疑函一份（法人或负责人）代表签字、加盖单位公章，并附相关证据材料。</w:t>
      </w:r>
    </w:p>
    <w:p>
      <w:pPr>
        <w:keepNext w:val="0"/>
        <w:keepLines w:val="0"/>
        <w:pageBreakBefore w:val="0"/>
        <w:kinsoku/>
        <w:wordWrap/>
        <w:overflowPunct/>
        <w:autoSpaceDE/>
        <w:autoSpaceDN/>
        <w:bidi w:val="0"/>
        <w:adjustRightInd/>
        <w:spacing w:line="560" w:lineRule="exact"/>
        <w:ind w:firstLine="480"/>
        <w:textAlignment w:val="auto"/>
        <w:rPr>
          <w:rFonts w:ascii="Times New Roman" w:hAnsi="Times New Roman" w:cs="Times New Roman"/>
          <w:color w:val="auto"/>
          <w:sz w:val="24"/>
          <w:szCs w:val="24"/>
        </w:rPr>
      </w:pPr>
      <w:r>
        <w:rPr>
          <w:rFonts w:ascii="Times New Roman" w:hAnsi="Times New Roman" w:cs="Times New Roman"/>
          <w:color w:val="auto"/>
          <w:sz w:val="24"/>
          <w:szCs w:val="24"/>
        </w:rPr>
        <w:t>十</w:t>
      </w:r>
      <w:r>
        <w:rPr>
          <w:rFonts w:hint="eastAsia" w:ascii="Times New Roman" w:hAnsi="Times New Roman" w:cs="Times New Roman"/>
          <w:color w:val="auto"/>
          <w:sz w:val="24"/>
          <w:szCs w:val="24"/>
          <w:lang w:val="en-US" w:eastAsia="zh-CN"/>
        </w:rPr>
        <w:t>二</w:t>
      </w:r>
      <w:r>
        <w:rPr>
          <w:rFonts w:ascii="Times New Roman" w:hAnsi="Times New Roman" w:cs="Times New Roman"/>
          <w:color w:val="auto"/>
          <w:sz w:val="24"/>
          <w:szCs w:val="24"/>
        </w:rPr>
        <w:t>、联系方式</w:t>
      </w:r>
    </w:p>
    <w:p>
      <w:pPr>
        <w:keepNext w:val="0"/>
        <w:keepLines w:val="0"/>
        <w:pageBreakBefore w:val="0"/>
        <w:kinsoku/>
        <w:wordWrap/>
        <w:overflowPunct/>
        <w:autoSpaceDE/>
        <w:autoSpaceDN/>
        <w:bidi w:val="0"/>
        <w:adjustRightInd/>
        <w:spacing w:line="560" w:lineRule="exact"/>
        <w:ind w:firstLine="420" w:firstLineChars="175"/>
        <w:textAlignment w:val="auto"/>
        <w:outlineLvl w:val="0"/>
        <w:rPr>
          <w:rFonts w:hint="default" w:ascii="宋体" w:hAnsi="Times New Roman" w:cs="宋体" w:eastAsiaTheme="minorEastAsia"/>
          <w:color w:val="auto"/>
          <w:kern w:val="0"/>
          <w:sz w:val="27"/>
          <w:szCs w:val="21"/>
          <w:lang w:val="en-US" w:eastAsia="zh-CN"/>
        </w:rPr>
      </w:pPr>
      <w:r>
        <w:rPr>
          <w:rFonts w:ascii="Times New Roman" w:hAnsi="Times New Roman" w:cs="Times New Roman"/>
          <w:color w:val="auto"/>
          <w:sz w:val="24"/>
        </w:rPr>
        <w:t>采购人名称：</w:t>
      </w:r>
      <w:r>
        <w:rPr>
          <w:rFonts w:hint="eastAsia" w:ascii="Times New Roman" w:hAnsi="Times New Roman" w:cs="Times New Roman"/>
          <w:color w:val="auto"/>
          <w:sz w:val="24"/>
          <w:szCs w:val="24"/>
          <w:lang w:val="en-US" w:eastAsia="zh-CN"/>
        </w:rPr>
        <w:t>湖北省鄂旅投旅游发展股份有限公司</w:t>
      </w:r>
    </w:p>
    <w:p>
      <w:pPr>
        <w:keepNext w:val="0"/>
        <w:keepLines w:val="0"/>
        <w:pageBreakBefore w:val="0"/>
        <w:kinsoku/>
        <w:wordWrap/>
        <w:overflowPunct/>
        <w:autoSpaceDE/>
        <w:autoSpaceDN/>
        <w:bidi w:val="0"/>
        <w:adjustRightInd/>
        <w:spacing w:line="560" w:lineRule="exact"/>
        <w:ind w:firstLine="420" w:firstLineChars="175"/>
        <w:textAlignment w:val="auto"/>
        <w:outlineLvl w:val="0"/>
        <w:rPr>
          <w:rFonts w:hint="default" w:ascii="Times New Roman" w:hAnsi="Times New Roman" w:cs="Times New Roman" w:eastAsiaTheme="minorEastAsia"/>
          <w:color w:val="auto"/>
          <w:sz w:val="24"/>
          <w:lang w:val="en-US" w:eastAsia="zh-CN"/>
        </w:rPr>
      </w:pPr>
      <w:r>
        <w:rPr>
          <w:rFonts w:ascii="Times New Roman" w:hAnsi="Times New Roman" w:cs="Times New Roman"/>
          <w:color w:val="auto"/>
          <w:sz w:val="24"/>
        </w:rPr>
        <w:t>联系人：</w:t>
      </w:r>
      <w:r>
        <w:rPr>
          <w:rFonts w:hint="eastAsia" w:ascii="Times New Roman" w:hAnsi="Times New Roman" w:cs="Times New Roman"/>
          <w:color w:val="auto"/>
          <w:sz w:val="24"/>
          <w:lang w:val="en-US" w:eastAsia="zh-CN"/>
        </w:rPr>
        <w:t>刘先生</w:t>
      </w:r>
    </w:p>
    <w:p>
      <w:pPr>
        <w:keepNext w:val="0"/>
        <w:keepLines w:val="0"/>
        <w:pageBreakBefore w:val="0"/>
        <w:widowControl/>
        <w:kinsoku/>
        <w:wordWrap/>
        <w:overflowPunct/>
        <w:autoSpaceDE/>
        <w:autoSpaceDN/>
        <w:bidi w:val="0"/>
        <w:adjustRightInd/>
        <w:spacing w:line="560" w:lineRule="exact"/>
        <w:ind w:firstLine="420"/>
        <w:textAlignment w:val="auto"/>
        <w:rPr>
          <w:rFonts w:hint="default" w:cs="宋体" w:eastAsiaTheme="minorEastAsia"/>
          <w:color w:val="auto"/>
          <w:kern w:val="0"/>
          <w:szCs w:val="21"/>
          <w:lang w:val="en-US" w:eastAsia="zh-CN"/>
        </w:rPr>
      </w:pPr>
      <w:r>
        <w:rPr>
          <w:rFonts w:ascii="Times New Roman" w:hAnsi="Times New Roman" w:cs="Times New Roman"/>
          <w:color w:val="auto"/>
          <w:sz w:val="24"/>
        </w:rPr>
        <w:t>联系电话：</w:t>
      </w:r>
      <w:r>
        <w:rPr>
          <w:rFonts w:hint="eastAsia"/>
          <w:color w:val="auto"/>
          <w:sz w:val="24"/>
          <w:lang w:val="en-US" w:eastAsia="zh-CN"/>
        </w:rPr>
        <w:t>13986120865</w:t>
      </w:r>
    </w:p>
    <w:p>
      <w:pPr>
        <w:keepNext w:val="0"/>
        <w:keepLines w:val="0"/>
        <w:pageBreakBefore w:val="0"/>
        <w:kinsoku/>
        <w:wordWrap/>
        <w:overflowPunct/>
        <w:topLinePunct/>
        <w:autoSpaceDE/>
        <w:autoSpaceDN/>
        <w:bidi w:val="0"/>
        <w:adjustRightInd/>
        <w:spacing w:line="560" w:lineRule="exact"/>
        <w:ind w:firstLine="480" w:firstLineChars="200"/>
        <w:textAlignment w:val="auto"/>
        <w:rPr>
          <w:rFonts w:ascii="宋体" w:hAnsi="宋体"/>
          <w:color w:val="auto"/>
          <w:kern w:val="0"/>
          <w:sz w:val="24"/>
          <w:szCs w:val="24"/>
        </w:rPr>
      </w:pPr>
      <w:r>
        <w:rPr>
          <w:rFonts w:ascii="Times New Roman" w:hAnsi="Times New Roman" w:cs="Times New Roman"/>
          <w:color w:val="auto"/>
          <w:sz w:val="24"/>
        </w:rPr>
        <w:t>地址：</w:t>
      </w:r>
      <w:r>
        <w:rPr>
          <w:rFonts w:hint="eastAsia" w:ascii="宋体" w:hAnsi="宋体"/>
          <w:color w:val="auto"/>
          <w:kern w:val="0"/>
          <w:sz w:val="24"/>
          <w:szCs w:val="24"/>
        </w:rPr>
        <w:t>湖北省恩施市大峡谷风景区管理</w:t>
      </w:r>
      <w:r>
        <w:rPr>
          <w:rFonts w:hint="eastAsia" w:ascii="宋体" w:hAnsi="宋体"/>
          <w:color w:val="auto"/>
          <w:kern w:val="0"/>
          <w:sz w:val="24"/>
          <w:szCs w:val="24"/>
          <w:lang w:val="en-US" w:eastAsia="zh-CN"/>
        </w:rPr>
        <w:t>中心恩施大峡谷景区办公楼鄂旅股份大峡谷事业部综合服务部</w:t>
      </w:r>
    </w:p>
    <w:p>
      <w:pPr>
        <w:keepNext w:val="0"/>
        <w:keepLines w:val="0"/>
        <w:pageBreakBefore w:val="0"/>
        <w:kinsoku/>
        <w:wordWrap/>
        <w:overflowPunct/>
        <w:autoSpaceDE/>
        <w:autoSpaceDN/>
        <w:bidi w:val="0"/>
        <w:adjustRightInd/>
        <w:spacing w:line="560" w:lineRule="exact"/>
        <w:ind w:firstLine="420" w:firstLineChars="175"/>
        <w:textAlignment w:val="auto"/>
        <w:rPr>
          <w:rFonts w:ascii="Times New Roman" w:hAnsi="Times New Roman" w:cs="Times New Roman"/>
          <w:color w:val="auto"/>
          <w:sz w:val="24"/>
        </w:rPr>
      </w:pPr>
    </w:p>
    <w:p>
      <w:pPr>
        <w:keepNext w:val="0"/>
        <w:keepLines w:val="0"/>
        <w:pageBreakBefore w:val="0"/>
        <w:kinsoku/>
        <w:wordWrap/>
        <w:overflowPunct/>
        <w:autoSpaceDE/>
        <w:autoSpaceDN/>
        <w:bidi w:val="0"/>
        <w:adjustRightInd/>
        <w:spacing w:line="560" w:lineRule="exact"/>
        <w:ind w:firstLine="480" w:firstLineChars="200"/>
        <w:textAlignment w:val="auto"/>
        <w:outlineLvl w:val="9"/>
        <w:rPr>
          <w:rFonts w:ascii="Times New Roman" w:hAnsi="Times New Roman" w:cs="Times New Roman"/>
          <w:color w:val="auto"/>
          <w:sz w:val="24"/>
        </w:rPr>
      </w:pPr>
      <w:bookmarkStart w:id="5" w:name="_GoBack"/>
      <w:bookmarkEnd w:id="5"/>
    </w:p>
    <w:p>
      <w:pPr>
        <w:keepNext w:val="0"/>
        <w:keepLines w:val="0"/>
        <w:pageBreakBefore w:val="0"/>
        <w:kinsoku/>
        <w:wordWrap/>
        <w:overflowPunct/>
        <w:autoSpaceDE/>
        <w:autoSpaceDN/>
        <w:bidi w:val="0"/>
        <w:adjustRightInd/>
        <w:spacing w:line="560" w:lineRule="exact"/>
        <w:textAlignment w:val="auto"/>
        <w:outlineLvl w:val="9"/>
        <w:rPr>
          <w:rFonts w:ascii="Times New Roman" w:hAnsi="Times New Roman" w:cs="Times New Roman"/>
          <w:color w:val="auto"/>
          <w:sz w:val="24"/>
        </w:rPr>
      </w:pPr>
    </w:p>
    <w:p>
      <w:pPr>
        <w:keepNext w:val="0"/>
        <w:keepLines w:val="0"/>
        <w:pageBreakBefore w:val="0"/>
        <w:kinsoku/>
        <w:wordWrap/>
        <w:overflowPunct/>
        <w:autoSpaceDE/>
        <w:autoSpaceDN/>
        <w:bidi w:val="0"/>
        <w:adjustRightInd/>
        <w:spacing w:line="560" w:lineRule="exact"/>
        <w:jc w:val="right"/>
        <w:textAlignment w:val="auto"/>
        <w:rPr>
          <w:rFonts w:hint="default" w:ascii="Times New Roman" w:hAnsi="Times New Roman" w:cs="Times New Roman"/>
          <w:color w:val="auto"/>
          <w:sz w:val="24"/>
          <w:lang w:val="en-US"/>
        </w:rPr>
      </w:pPr>
      <w:r>
        <w:rPr>
          <w:rFonts w:hint="eastAsia" w:ascii="宋体" w:hAnsi="宋体"/>
          <w:color w:val="auto"/>
          <w:kern w:val="0"/>
          <w:sz w:val="24"/>
          <w:szCs w:val="24"/>
          <w:lang w:val="en-US" w:eastAsia="zh-CN"/>
        </w:rPr>
        <w:t>湖北省鄂旅投旅游发展股份有限公司</w:t>
      </w:r>
    </w:p>
    <w:p>
      <w:pPr>
        <w:keepNext w:val="0"/>
        <w:keepLines w:val="0"/>
        <w:pageBreakBefore w:val="0"/>
        <w:kinsoku/>
        <w:wordWrap/>
        <w:overflowPunct/>
        <w:autoSpaceDE/>
        <w:autoSpaceDN/>
        <w:bidi w:val="0"/>
        <w:adjustRightInd/>
        <w:spacing w:line="560" w:lineRule="exact"/>
        <w:ind w:firstLine="5520" w:firstLineChars="2300"/>
        <w:textAlignment w:val="auto"/>
        <w:outlineLvl w:val="0"/>
        <w:rPr>
          <w:rFonts w:ascii="Times New Roman" w:hAnsi="Times New Roman" w:cs="Times New Roman"/>
          <w:color w:val="auto"/>
          <w:sz w:val="24"/>
        </w:rPr>
      </w:pPr>
      <w:r>
        <w:rPr>
          <w:rFonts w:hint="eastAsia" w:ascii="Times New Roman" w:hAnsi="Times New Roman" w:cs="Times New Roman"/>
          <w:color w:val="auto"/>
          <w:sz w:val="24"/>
          <w:lang w:val="en-US" w:eastAsia="zh-CN"/>
        </w:rPr>
        <w:t>2024</w:t>
      </w:r>
      <w:r>
        <w:rPr>
          <w:rFonts w:ascii="Times New Roman" w:hAnsi="Times New Roman" w:cs="Times New Roman"/>
          <w:color w:val="auto"/>
          <w:sz w:val="24"/>
        </w:rPr>
        <w:t>年</w:t>
      </w:r>
      <w:r>
        <w:rPr>
          <w:rFonts w:hint="eastAsia" w:ascii="Times New Roman" w:hAnsi="Times New Roman" w:cs="Times New Roman"/>
          <w:color w:val="auto"/>
          <w:sz w:val="24"/>
          <w:lang w:val="en-US" w:eastAsia="zh-CN"/>
        </w:rPr>
        <w:t>5</w:t>
      </w:r>
      <w:r>
        <w:rPr>
          <w:rFonts w:ascii="Times New Roman" w:hAnsi="Times New Roman" w:cs="Times New Roman"/>
          <w:color w:val="auto"/>
          <w:sz w:val="24"/>
        </w:rPr>
        <w:t>月</w:t>
      </w:r>
      <w:r>
        <w:rPr>
          <w:rFonts w:hint="eastAsia" w:ascii="Times New Roman" w:hAnsi="Times New Roman" w:cs="Times New Roman"/>
          <w:color w:val="auto"/>
          <w:sz w:val="24"/>
          <w:lang w:val="en-US" w:eastAsia="zh-CN"/>
        </w:rPr>
        <w:t>30</w:t>
      </w:r>
      <w:r>
        <w:rPr>
          <w:rFonts w:ascii="Times New Roman" w:hAnsi="Times New Roman" w:cs="Times New Roman"/>
          <w:color w:val="auto"/>
          <w:sz w:val="24"/>
        </w:rPr>
        <w:t>日</w:t>
      </w:r>
    </w:p>
    <w:p>
      <w:pPr>
        <w:spacing w:line="420" w:lineRule="exact"/>
        <w:ind w:firstLine="840" w:firstLineChars="350"/>
        <w:rPr>
          <w:rFonts w:ascii="Times New Roman" w:hAnsi="Times New Roman" w:cs="Times New Roman"/>
          <w:color w:val="auto"/>
          <w:sz w:val="24"/>
          <w:szCs w:val="24"/>
          <w:lang w:val="hr-HR" w:bidi="ar-EG"/>
        </w:rPr>
      </w:pPr>
      <w:r>
        <w:rPr>
          <w:rFonts w:ascii="Times New Roman" w:hAnsi="Times New Roman" w:cs="Times New Roman"/>
          <w:color w:val="auto"/>
          <w:sz w:val="24"/>
          <w:szCs w:val="24"/>
          <w:lang w:val="hr-HR" w:bidi="ar-EG"/>
        </w:rPr>
        <w:t xml:space="preserve"> </w:t>
      </w:r>
    </w:p>
    <w:p>
      <w:pPr>
        <w:widowControl/>
        <w:jc w:val="center"/>
        <w:rPr>
          <w:rFonts w:ascii="Times New Roman" w:hAnsi="Times New Roman" w:cs="Times New Roman"/>
          <w:b/>
          <w:bCs/>
          <w:color w:val="auto"/>
          <w:sz w:val="36"/>
          <w:szCs w:val="36"/>
        </w:rPr>
      </w:pPr>
      <w:r>
        <w:rPr>
          <w:rFonts w:ascii="Times New Roman" w:hAnsi="Times New Roman" w:cs="Times New Roman"/>
          <w:color w:val="auto"/>
          <w:sz w:val="24"/>
          <w:szCs w:val="24"/>
          <w:lang w:bidi="ar-EG"/>
        </w:rPr>
        <w:br w:type="page"/>
      </w:r>
      <w:r>
        <w:rPr>
          <w:rFonts w:ascii="Times New Roman" w:hAnsi="Times New Roman" w:cs="Times New Roman"/>
          <w:b/>
          <w:color w:val="auto"/>
          <w:sz w:val="36"/>
          <w:szCs w:val="36"/>
          <w:lang w:val="hr-HR" w:bidi="ar-EG"/>
        </w:rPr>
        <w:t xml:space="preserve">第二章 </w:t>
      </w:r>
      <w:r>
        <w:rPr>
          <w:rFonts w:ascii="Times New Roman" w:hAnsi="Times New Roman" w:cs="Times New Roman"/>
          <w:b/>
          <w:bCs/>
          <w:color w:val="auto"/>
          <w:sz w:val="36"/>
          <w:szCs w:val="36"/>
        </w:rPr>
        <w:t>磋商须知</w:t>
      </w:r>
    </w:p>
    <w:p>
      <w:pPr>
        <w:jc w:val="center"/>
        <w:rPr>
          <w:rFonts w:ascii="Times New Roman" w:hAnsi="Times New Roman" w:cs="Times New Roman"/>
          <w:color w:val="auto"/>
          <w:szCs w:val="28"/>
        </w:rPr>
      </w:pPr>
    </w:p>
    <w:p>
      <w:pPr>
        <w:jc w:val="center"/>
        <w:rPr>
          <w:rFonts w:ascii="Times New Roman" w:hAnsi="Times New Roman" w:cs="Times New Roman"/>
          <w:color w:val="auto"/>
          <w:sz w:val="32"/>
          <w:szCs w:val="32"/>
        </w:rPr>
      </w:pPr>
      <w:r>
        <w:rPr>
          <w:rFonts w:ascii="Times New Roman" w:hAnsi="Times New Roman" w:cs="Times New Roman"/>
          <w:color w:val="auto"/>
          <w:sz w:val="32"/>
          <w:szCs w:val="32"/>
        </w:rPr>
        <w:t>磋商须知前附表</w:t>
      </w:r>
    </w:p>
    <w:tbl>
      <w:tblPr>
        <w:tblStyle w:val="10"/>
        <w:tblW w:w="85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6"/>
        <w:gridCol w:w="1923"/>
        <w:gridCol w:w="578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8" w:hRule="atLeast"/>
          <w:jc w:val="center"/>
        </w:trPr>
        <w:tc>
          <w:tcPr>
            <w:tcW w:w="816" w:type="dxa"/>
            <w:tcBorders>
              <w:top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1923" w:type="dxa"/>
            <w:tcBorders>
              <w:top w:val="single" w:color="auto" w:sz="4" w:space="0"/>
              <w:left w:val="single" w:color="auto" w:sz="4" w:space="0"/>
              <w:bottom w:val="single" w:color="auto" w:sz="4" w:space="0"/>
              <w:right w:val="single" w:color="auto" w:sz="4" w:space="0"/>
            </w:tcBorders>
            <w:vAlign w:val="center"/>
          </w:tcPr>
          <w:p>
            <w:pPr>
              <w:ind w:right="57"/>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    目</w:t>
            </w:r>
          </w:p>
        </w:tc>
        <w:tc>
          <w:tcPr>
            <w:tcW w:w="5783" w:type="dxa"/>
            <w:tcBorders>
              <w:top w:val="single" w:color="auto" w:sz="4" w:space="0"/>
              <w:left w:val="single" w:color="auto" w:sz="4" w:space="0"/>
              <w:bottom w:val="single" w:color="auto" w:sz="4" w:space="0"/>
            </w:tcBorders>
            <w:vAlign w:val="center"/>
          </w:tcPr>
          <w:p>
            <w:pPr>
              <w:ind w:left="57" w:right="57" w:firstLine="482" w:firstLineChars="201"/>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816" w:type="dxa"/>
            <w:tcBorders>
              <w:top w:val="single" w:color="auto" w:sz="4" w:space="0"/>
              <w:bottom w:val="single" w:color="auto" w:sz="4" w:space="0"/>
              <w:right w:val="single" w:color="auto" w:sz="4" w:space="0"/>
            </w:tcBorders>
            <w:vAlign w:val="center"/>
          </w:tcPr>
          <w:p>
            <w:pPr>
              <w:ind w:right="57"/>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923" w:type="dxa"/>
            <w:tcBorders>
              <w:top w:val="single" w:color="auto" w:sz="4" w:space="0"/>
              <w:left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项目名称</w:t>
            </w:r>
          </w:p>
        </w:tc>
        <w:tc>
          <w:tcPr>
            <w:tcW w:w="5783" w:type="dxa"/>
            <w:tcBorders>
              <w:top w:val="single" w:color="auto" w:sz="4" w:space="0"/>
              <w:left w:val="single" w:color="auto" w:sz="4" w:space="0"/>
              <w:bottom w:val="single" w:color="auto" w:sz="4" w:space="0"/>
            </w:tcBorders>
            <w:vAlign w:val="center"/>
          </w:tcPr>
          <w:p>
            <w:pPr>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bCs/>
                <w:color w:val="auto"/>
                <w:sz w:val="24"/>
                <w:szCs w:val="24"/>
                <w:lang w:val="en-US" w:eastAsia="zh-CN"/>
              </w:rPr>
              <w:t>恩施大峡谷地面缆车2024年度绿化养护</w:t>
            </w:r>
            <w:r>
              <w:rPr>
                <w:rFonts w:hint="eastAsia" w:asciiTheme="minorEastAsia" w:hAnsiTheme="minorEastAsia" w:eastAsiaTheme="minorEastAsia" w:cstheme="minorEastAsia"/>
                <w:bCs/>
                <w:color w:val="auto"/>
                <w:sz w:val="24"/>
                <w:szCs w:val="24"/>
                <w:lang w:bidi="ar-EG"/>
              </w:rPr>
              <w:t>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6" w:hRule="atLeast"/>
          <w:jc w:val="center"/>
        </w:trPr>
        <w:tc>
          <w:tcPr>
            <w:tcW w:w="816" w:type="dxa"/>
            <w:tcBorders>
              <w:top w:val="single" w:color="auto" w:sz="4" w:space="0"/>
              <w:bottom w:val="single" w:color="auto" w:sz="4" w:space="0"/>
              <w:right w:val="single" w:color="auto" w:sz="4" w:space="0"/>
            </w:tcBorders>
            <w:vAlign w:val="center"/>
          </w:tcPr>
          <w:p>
            <w:pPr>
              <w:ind w:right="57"/>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923" w:type="dxa"/>
            <w:tcBorders>
              <w:top w:val="single" w:color="auto" w:sz="4" w:space="0"/>
              <w:left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项目编号</w:t>
            </w:r>
          </w:p>
        </w:tc>
        <w:tc>
          <w:tcPr>
            <w:tcW w:w="5783" w:type="dxa"/>
            <w:tcBorders>
              <w:top w:val="single" w:color="auto" w:sz="4" w:space="0"/>
              <w:left w:val="single" w:color="auto" w:sz="4" w:space="0"/>
              <w:bottom w:val="single" w:color="auto" w:sz="4" w:space="0"/>
            </w:tcBorders>
            <w:vAlign w:val="center"/>
          </w:tcPr>
          <w:p>
            <w:pPr>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sz w:val="24"/>
                <w:szCs w:val="24"/>
                <w:lang w:val="en-US" w:eastAsia="zh-CN" w:bidi="ar-EG"/>
              </w:rPr>
              <w:t>ELGFSYB-20240522</w:t>
            </w:r>
            <w:r>
              <w:rPr>
                <w:rFonts w:hint="eastAsia" w:asciiTheme="minorEastAsia" w:hAnsiTheme="minorEastAsia" w:eastAsiaTheme="minorEastAsia" w:cstheme="minorEastAsia"/>
                <w:color w:val="auto"/>
                <w:kern w:val="0"/>
                <w:sz w:val="24"/>
                <w:szCs w:val="24"/>
              </w:rPr>
              <w:fldChar w:fldCharType="begin"/>
            </w:r>
            <w:r>
              <w:rPr>
                <w:rFonts w:hint="eastAsia" w:asciiTheme="minorEastAsia" w:hAnsiTheme="minorEastAsia" w:eastAsiaTheme="minorEastAsia" w:cstheme="minorEastAsia"/>
                <w:color w:val="auto"/>
                <w:kern w:val="0"/>
                <w:sz w:val="24"/>
                <w:szCs w:val="24"/>
              </w:rPr>
              <w:instrText xml:space="preserve">&lt;MK&gt;pro.schemecode&lt;/MK&gt;</w:instrText>
            </w:r>
            <w:r>
              <w:rPr>
                <w:rFonts w:hint="eastAsia" w:asciiTheme="minorEastAsia" w:hAnsiTheme="minorEastAsia" w:eastAsiaTheme="minorEastAsia" w:cstheme="minorEastAsia"/>
                <w:color w:val="auto"/>
                <w:kern w:val="0"/>
                <w:sz w:val="24"/>
                <w:szCs w:val="24"/>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816" w:type="dxa"/>
            <w:tcBorders>
              <w:top w:val="single" w:color="auto" w:sz="4" w:space="0"/>
              <w:bottom w:val="single" w:color="auto" w:sz="4" w:space="0"/>
              <w:right w:val="single" w:color="auto" w:sz="4" w:space="0"/>
            </w:tcBorders>
            <w:vAlign w:val="center"/>
          </w:tcPr>
          <w:p>
            <w:pPr>
              <w:ind w:right="57"/>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1923" w:type="dxa"/>
            <w:tcBorders>
              <w:top w:val="single" w:color="auto" w:sz="4" w:space="0"/>
              <w:left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采购人</w:t>
            </w:r>
          </w:p>
        </w:tc>
        <w:tc>
          <w:tcPr>
            <w:tcW w:w="5783" w:type="dxa"/>
            <w:tcBorders>
              <w:top w:val="single" w:color="auto" w:sz="4" w:space="0"/>
              <w:left w:val="single" w:color="auto" w:sz="4" w:space="0"/>
              <w:bottom w:val="single" w:color="auto" w:sz="4" w:space="0"/>
            </w:tcBorders>
            <w:vAlign w:val="center"/>
          </w:tcPr>
          <w:p>
            <w:pPr>
              <w:spacing w:line="240" w:lineRule="auto"/>
              <w:jc w:val="both"/>
              <w:rPr>
                <w:rFonts w:hint="eastAsia" w:asciiTheme="minorEastAsia" w:hAnsiTheme="minorEastAsia" w:eastAsiaTheme="minorEastAsia" w:cstheme="minorEastAsia"/>
                <w:bCs/>
                <w:color w:val="auto"/>
                <w:w w:val="66"/>
                <w:sz w:val="24"/>
                <w:szCs w:val="24"/>
                <w:lang w:val="en-US" w:eastAsia="zh-CN"/>
              </w:rPr>
            </w:pPr>
            <w:r>
              <w:rPr>
                <w:rFonts w:hint="eastAsia" w:asciiTheme="minorEastAsia" w:hAnsiTheme="minorEastAsia" w:eastAsiaTheme="minorEastAsia" w:cstheme="minorEastAsia"/>
                <w:color w:val="auto"/>
                <w:sz w:val="24"/>
                <w:szCs w:val="24"/>
              </w:rPr>
              <w:t>采购人名称：</w:t>
            </w:r>
            <w:r>
              <w:rPr>
                <w:rFonts w:hint="eastAsia" w:asciiTheme="minorEastAsia" w:hAnsiTheme="minorEastAsia" w:eastAsiaTheme="minorEastAsia" w:cstheme="minorEastAsia"/>
                <w:b w:val="0"/>
                <w:bCs/>
                <w:color w:val="auto"/>
                <w:sz w:val="24"/>
                <w:szCs w:val="24"/>
                <w:lang w:val="en-US" w:eastAsia="zh-CN"/>
              </w:rPr>
              <w:t>恩施大峡谷地面缆车2024年度绿化养护服务</w:t>
            </w:r>
          </w:p>
          <w:p>
            <w:pPr>
              <w:spacing w:line="240" w:lineRule="auto"/>
              <w:outlineLvl w:val="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联系人：</w:t>
            </w:r>
            <w:r>
              <w:rPr>
                <w:rFonts w:hint="eastAsia" w:asciiTheme="minorEastAsia" w:hAnsiTheme="minorEastAsia" w:eastAsiaTheme="minorEastAsia" w:cstheme="minorEastAsia"/>
                <w:color w:val="auto"/>
                <w:sz w:val="24"/>
                <w:szCs w:val="24"/>
                <w:lang w:val="en-US" w:eastAsia="zh-CN"/>
              </w:rPr>
              <w:t>刘先生</w:t>
            </w:r>
          </w:p>
          <w:p>
            <w:pPr>
              <w:widowControl/>
              <w:spacing w:line="240" w:lineRule="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sz w:val="24"/>
                <w:szCs w:val="24"/>
              </w:rPr>
              <w:t>联系电话：</w:t>
            </w:r>
            <w:r>
              <w:rPr>
                <w:rFonts w:hint="eastAsia" w:asciiTheme="minorEastAsia" w:hAnsiTheme="minorEastAsia" w:eastAsiaTheme="minorEastAsia" w:cstheme="minorEastAsia"/>
                <w:color w:val="auto"/>
                <w:sz w:val="24"/>
                <w:szCs w:val="24"/>
                <w:lang w:val="en-US" w:eastAsia="zh-CN"/>
              </w:rPr>
              <w:t>13986120865</w:t>
            </w:r>
          </w:p>
          <w:p>
            <w:pPr>
              <w:topLinePunct/>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地址：</w:t>
            </w:r>
            <w:r>
              <w:rPr>
                <w:rFonts w:hint="eastAsia" w:asciiTheme="minorEastAsia" w:hAnsiTheme="minorEastAsia" w:eastAsiaTheme="minorEastAsia" w:cstheme="minorEastAsia"/>
                <w:color w:val="auto"/>
                <w:kern w:val="0"/>
                <w:sz w:val="24"/>
                <w:szCs w:val="24"/>
              </w:rPr>
              <w:t>湖北省恩施市大峡谷风景区管理</w:t>
            </w:r>
            <w:r>
              <w:rPr>
                <w:rFonts w:hint="eastAsia" w:asciiTheme="minorEastAsia" w:hAnsiTheme="minorEastAsia" w:eastAsiaTheme="minorEastAsia" w:cstheme="minorEastAsia"/>
                <w:color w:val="auto"/>
                <w:kern w:val="0"/>
                <w:sz w:val="24"/>
                <w:szCs w:val="24"/>
                <w:lang w:val="en-US" w:eastAsia="zh-CN"/>
              </w:rPr>
              <w:t>中心恩施大峡谷景区办公楼鄂旅股份大峡谷事业部综合服务部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816" w:type="dxa"/>
            <w:tcBorders>
              <w:top w:val="single" w:color="auto" w:sz="4" w:space="0"/>
              <w:bottom w:val="single" w:color="auto" w:sz="4" w:space="0"/>
              <w:right w:val="single" w:color="auto" w:sz="4" w:space="0"/>
            </w:tcBorders>
            <w:vAlign w:val="center"/>
          </w:tcPr>
          <w:p>
            <w:pPr>
              <w:ind w:right="57"/>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1923" w:type="dxa"/>
            <w:tcBorders>
              <w:top w:val="single" w:color="auto" w:sz="4" w:space="0"/>
              <w:left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现场踏勘</w:t>
            </w:r>
          </w:p>
        </w:tc>
        <w:tc>
          <w:tcPr>
            <w:tcW w:w="5783" w:type="dxa"/>
            <w:tcBorders>
              <w:top w:val="single" w:color="auto" w:sz="4" w:space="0"/>
              <w:left w:val="single" w:color="auto" w:sz="4" w:space="0"/>
              <w:bottom w:val="single" w:color="auto" w:sz="4" w:space="0"/>
            </w:tcBorders>
            <w:vAlign w:val="center"/>
          </w:tcPr>
          <w:p>
            <w:pPr>
              <w:spacing w:line="440" w:lineRule="exact"/>
              <w:outlineLvl w:val="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采购人</w:t>
            </w:r>
            <w:r>
              <w:rPr>
                <w:rFonts w:hint="eastAsia" w:asciiTheme="minorEastAsia" w:hAnsiTheme="minorEastAsia" w:eastAsiaTheme="minorEastAsia" w:cstheme="minorEastAsia"/>
                <w:color w:val="auto"/>
                <w:sz w:val="24"/>
                <w:szCs w:val="24"/>
                <w:lang w:val="en-US" w:eastAsia="zh-CN"/>
              </w:rPr>
              <w:t>不</w:t>
            </w:r>
            <w:r>
              <w:rPr>
                <w:rFonts w:hint="eastAsia" w:asciiTheme="minorEastAsia" w:hAnsiTheme="minorEastAsia" w:eastAsiaTheme="minorEastAsia" w:cstheme="minorEastAsia"/>
                <w:color w:val="auto"/>
                <w:sz w:val="24"/>
                <w:szCs w:val="24"/>
              </w:rPr>
              <w:t>统一组织现场踏勘，投标人应自行对项目现场及周围环境进行踏勘，以便获取有关编制响应文件所需的资料。</w:t>
            </w:r>
          </w:p>
        </w:tc>
      </w:tr>
    </w:tbl>
    <w:p>
      <w:pPr>
        <w:widowControl/>
        <w:jc w:val="left"/>
        <w:rPr>
          <w:rFonts w:ascii="Times New Roman" w:hAnsi="Times New Roman" w:eastAsia="仿宋_GB2312" w:cs="Times New Roman"/>
          <w:bCs/>
          <w:color w:val="auto"/>
          <w:sz w:val="24"/>
        </w:rPr>
      </w:pPr>
    </w:p>
    <w:p>
      <w:pPr>
        <w:widowControl/>
        <w:jc w:val="left"/>
        <w:rPr>
          <w:rFonts w:ascii="Times New Roman" w:hAnsi="Times New Roman" w:eastAsia="黑体" w:cs="Times New Roman"/>
          <w:bCs/>
          <w:color w:val="auto"/>
          <w:sz w:val="24"/>
          <w:szCs w:val="24"/>
        </w:rPr>
      </w:pPr>
    </w:p>
    <w:p>
      <w:pPr>
        <w:spacing w:line="440" w:lineRule="exact"/>
        <w:rPr>
          <w:rFonts w:ascii="Times New Roman" w:hAnsi="Times New Roman" w:eastAsia="黑体" w:cs="Times New Roman"/>
          <w:bCs/>
          <w:color w:val="auto"/>
          <w:sz w:val="24"/>
          <w:szCs w:val="24"/>
        </w:rPr>
      </w:pPr>
      <w:r>
        <w:rPr>
          <w:rFonts w:ascii="Times New Roman" w:hAnsi="Times New Roman" w:eastAsia="黑体" w:cs="Times New Roman"/>
          <w:bCs/>
          <w:color w:val="auto"/>
          <w:sz w:val="24"/>
          <w:szCs w:val="24"/>
        </w:rPr>
        <w:br w:type="textWrapping"/>
      </w:r>
    </w:p>
    <w:p>
      <w:pPr>
        <w:widowControl/>
        <w:jc w:val="left"/>
        <w:rPr>
          <w:rFonts w:ascii="Times New Roman" w:hAnsi="Times New Roman" w:eastAsia="黑体" w:cs="Times New Roman"/>
          <w:bCs/>
          <w:color w:val="auto"/>
          <w:sz w:val="24"/>
          <w:szCs w:val="24"/>
        </w:rPr>
      </w:pPr>
      <w:r>
        <w:rPr>
          <w:rFonts w:ascii="Times New Roman" w:hAnsi="Times New Roman" w:eastAsia="黑体" w:cs="Times New Roman"/>
          <w:bCs/>
          <w:color w:val="auto"/>
          <w:sz w:val="24"/>
          <w:szCs w:val="24"/>
        </w:rPr>
        <w:br w:type="page"/>
      </w:r>
    </w:p>
    <w:p>
      <w:pPr>
        <w:spacing w:line="440" w:lineRule="exact"/>
        <w:rPr>
          <w:rFonts w:ascii="Times New Roman" w:hAnsi="Times New Roman" w:eastAsia="黑体" w:cs="Times New Roman"/>
          <w:bCs/>
          <w:color w:val="auto"/>
          <w:sz w:val="24"/>
          <w:szCs w:val="24"/>
        </w:rPr>
      </w:pPr>
      <w:r>
        <w:rPr>
          <w:rFonts w:ascii="Times New Roman" w:hAnsi="Times New Roman" w:eastAsia="黑体" w:cs="Times New Roman"/>
          <w:bCs/>
          <w:color w:val="auto"/>
          <w:sz w:val="24"/>
          <w:szCs w:val="24"/>
        </w:rPr>
        <w:t>一、总　则</w:t>
      </w:r>
    </w:p>
    <w:p>
      <w:pPr>
        <w:spacing w:line="440" w:lineRule="exact"/>
        <w:rPr>
          <w:rFonts w:ascii="Times New Roman" w:hAnsi="Times New Roman" w:cs="Times New Roman"/>
          <w:bCs/>
          <w:color w:val="auto"/>
          <w:sz w:val="24"/>
          <w:szCs w:val="24"/>
        </w:rPr>
      </w:pPr>
      <w:r>
        <w:rPr>
          <w:rFonts w:ascii="Times New Roman" w:hAnsi="Times New Roman" w:cs="Times New Roman"/>
          <w:bCs/>
          <w:color w:val="auto"/>
          <w:sz w:val="24"/>
          <w:szCs w:val="24"/>
        </w:rPr>
        <w:t>1. 适用范围</w:t>
      </w:r>
    </w:p>
    <w:p>
      <w:pPr>
        <w:spacing w:line="440" w:lineRule="exact"/>
        <w:ind w:left="420" w:hanging="420"/>
        <w:rPr>
          <w:rFonts w:ascii="Times New Roman" w:hAnsi="Times New Roman" w:cs="Times New Roman"/>
          <w:bCs/>
          <w:color w:val="auto"/>
          <w:sz w:val="24"/>
          <w:szCs w:val="24"/>
        </w:rPr>
      </w:pPr>
      <w:r>
        <w:rPr>
          <w:rFonts w:ascii="Times New Roman" w:hAnsi="Times New Roman" w:cs="Times New Roman"/>
          <w:bCs/>
          <w:color w:val="auto"/>
          <w:sz w:val="24"/>
          <w:szCs w:val="24"/>
        </w:rPr>
        <w:t>1.1 本文件仅适用于本文件中所叙述的货物、服务类政府采购项目。</w:t>
      </w:r>
    </w:p>
    <w:p>
      <w:pPr>
        <w:spacing w:line="440" w:lineRule="exact"/>
        <w:rPr>
          <w:rFonts w:ascii="Times New Roman" w:hAnsi="Times New Roman" w:cs="Times New Roman"/>
          <w:bCs/>
          <w:color w:val="auto"/>
          <w:sz w:val="24"/>
          <w:szCs w:val="24"/>
        </w:rPr>
      </w:pPr>
      <w:r>
        <w:rPr>
          <w:rFonts w:ascii="Times New Roman" w:hAnsi="Times New Roman" w:cs="Times New Roman"/>
          <w:bCs/>
          <w:color w:val="auto"/>
          <w:sz w:val="24"/>
          <w:szCs w:val="24"/>
        </w:rPr>
        <w:t>2. 定义</w:t>
      </w:r>
    </w:p>
    <w:p>
      <w:pPr>
        <w:spacing w:line="440" w:lineRule="exact"/>
        <w:ind w:left="360" w:hanging="360" w:hangingChars="150"/>
        <w:rPr>
          <w:rFonts w:ascii="Times New Roman" w:hAnsi="Times New Roman" w:cs="Times New Roman"/>
          <w:bCs/>
          <w:color w:val="auto"/>
          <w:sz w:val="24"/>
          <w:szCs w:val="24"/>
        </w:rPr>
      </w:pPr>
      <w:r>
        <w:rPr>
          <w:rFonts w:ascii="Times New Roman" w:hAnsi="Times New Roman" w:cs="Times New Roman"/>
          <w:bCs/>
          <w:color w:val="auto"/>
          <w:sz w:val="24"/>
          <w:szCs w:val="24"/>
        </w:rPr>
        <w:t>2.1“采购人”是指：</w:t>
      </w:r>
      <w:r>
        <w:rPr>
          <w:rFonts w:hint="eastAsia"/>
          <w:bCs/>
          <w:color w:val="auto"/>
          <w:sz w:val="24"/>
        </w:rPr>
        <w:t>详见《磋商须知前附表》</w:t>
      </w:r>
      <w:r>
        <w:rPr>
          <w:rFonts w:ascii="Times New Roman" w:hAnsi="Times New Roman" w:cs="Times New Roman"/>
          <w:bCs/>
          <w:color w:val="auto"/>
          <w:sz w:val="24"/>
          <w:szCs w:val="24"/>
        </w:rPr>
        <w:t>。</w:t>
      </w:r>
    </w:p>
    <w:p>
      <w:pPr>
        <w:spacing w:line="440" w:lineRule="exact"/>
        <w:ind w:left="420" w:hanging="420"/>
        <w:rPr>
          <w:rFonts w:ascii="Times New Roman" w:hAnsi="Times New Roman" w:cs="Times New Roman"/>
          <w:bCs/>
          <w:color w:val="auto"/>
          <w:sz w:val="24"/>
          <w:szCs w:val="24"/>
        </w:rPr>
      </w:pPr>
      <w:r>
        <w:rPr>
          <w:rFonts w:ascii="Times New Roman" w:hAnsi="Times New Roman" w:cs="Times New Roman"/>
          <w:bCs/>
          <w:color w:val="auto"/>
          <w:sz w:val="24"/>
          <w:szCs w:val="24"/>
        </w:rPr>
        <w:t>2.2“磋商文件”是指：竞争性磋商文件。</w:t>
      </w:r>
    </w:p>
    <w:p>
      <w:pPr>
        <w:spacing w:line="440" w:lineRule="exact"/>
        <w:ind w:left="240" w:hanging="240" w:hangingChars="100"/>
        <w:rPr>
          <w:rFonts w:ascii="Times New Roman" w:hAnsi="Times New Roman" w:cs="Times New Roman"/>
          <w:bCs/>
          <w:color w:val="auto"/>
          <w:sz w:val="24"/>
          <w:szCs w:val="24"/>
        </w:rPr>
      </w:pPr>
      <w:r>
        <w:rPr>
          <w:rFonts w:ascii="Times New Roman" w:hAnsi="Times New Roman" w:cs="Times New Roman"/>
          <w:bCs/>
          <w:color w:val="auto"/>
          <w:sz w:val="24"/>
          <w:szCs w:val="24"/>
        </w:rPr>
        <w:t>2.3“供应商”是指：获得该项目磋商小组确定参加竞争性磋商的法人、其他组织或者自然人。如果该供应商在本次磋商中成交,即成为“成交供应商”。</w:t>
      </w:r>
    </w:p>
    <w:p>
      <w:pPr>
        <w:spacing w:line="440" w:lineRule="exact"/>
        <w:ind w:left="360" w:hanging="360" w:hangingChars="150"/>
        <w:rPr>
          <w:rFonts w:ascii="Times New Roman" w:hAnsi="Times New Roman" w:cs="Times New Roman"/>
          <w:bCs/>
          <w:color w:val="auto"/>
          <w:sz w:val="24"/>
          <w:szCs w:val="24"/>
        </w:rPr>
      </w:pPr>
      <w:r>
        <w:rPr>
          <w:rFonts w:ascii="Times New Roman" w:hAnsi="Times New Roman" w:cs="Times New Roman"/>
          <w:bCs/>
          <w:color w:val="auto"/>
          <w:sz w:val="24"/>
          <w:szCs w:val="24"/>
        </w:rPr>
        <w:t>2.4“货物”是指：是指成交供应商按本文件规定，向采购人提供的一切货物及其相关服务。根据《政府采购法》的相关规定均应是本国货物，另有规定的除外。</w:t>
      </w:r>
    </w:p>
    <w:p>
      <w:pPr>
        <w:spacing w:line="440" w:lineRule="exact"/>
        <w:ind w:left="420" w:hanging="420"/>
        <w:rPr>
          <w:rFonts w:ascii="Times New Roman" w:hAnsi="Times New Roman" w:cs="Times New Roman"/>
          <w:bCs/>
          <w:color w:val="auto"/>
          <w:sz w:val="24"/>
          <w:szCs w:val="24"/>
        </w:rPr>
      </w:pPr>
      <w:r>
        <w:rPr>
          <w:rFonts w:ascii="Times New Roman" w:hAnsi="Times New Roman" w:cs="Times New Roman"/>
          <w:bCs/>
          <w:color w:val="auto"/>
          <w:sz w:val="24"/>
          <w:szCs w:val="24"/>
        </w:rPr>
        <w:t>2.5“服务”是指：成交供应商按本文件规定向采购人提供的所有服务。</w:t>
      </w:r>
    </w:p>
    <w:p>
      <w:pPr>
        <w:spacing w:line="440" w:lineRule="exact"/>
        <w:ind w:left="360" w:hanging="360" w:hangingChars="150"/>
        <w:rPr>
          <w:rFonts w:ascii="Times New Roman" w:hAnsi="Times New Roman" w:cs="Times New Roman"/>
          <w:bCs/>
          <w:color w:val="auto"/>
          <w:sz w:val="24"/>
          <w:szCs w:val="24"/>
        </w:rPr>
      </w:pPr>
      <w:r>
        <w:rPr>
          <w:rFonts w:ascii="Times New Roman" w:hAnsi="Times New Roman" w:cs="Times New Roman"/>
          <w:bCs/>
          <w:color w:val="auto"/>
          <w:sz w:val="24"/>
          <w:szCs w:val="24"/>
        </w:rPr>
        <w:t>2.6“响应文件”是指：供应商根据本文件要求编制包含价格、技术、服务和合同草案条款等所有内容的文件。</w:t>
      </w:r>
    </w:p>
    <w:p>
      <w:pPr>
        <w:spacing w:line="440" w:lineRule="exact"/>
        <w:ind w:left="360" w:hanging="360" w:hangingChars="150"/>
        <w:rPr>
          <w:rFonts w:ascii="Times New Roman" w:hAnsi="Times New Roman" w:cs="Times New Roman"/>
          <w:bCs/>
          <w:color w:val="auto"/>
          <w:sz w:val="24"/>
          <w:szCs w:val="24"/>
        </w:rPr>
      </w:pPr>
      <w:r>
        <w:rPr>
          <w:rFonts w:ascii="Times New Roman" w:hAnsi="Times New Roman" w:cs="Times New Roman"/>
          <w:bCs/>
          <w:color w:val="auto"/>
          <w:sz w:val="24"/>
          <w:szCs w:val="24"/>
        </w:rPr>
        <w:t>3.</w:t>
      </w:r>
      <w:r>
        <w:rPr>
          <w:rFonts w:hint="eastAsia" w:ascii="Times New Roman" w:hAnsi="Times New Roman" w:cs="Times New Roman"/>
          <w:bCs/>
          <w:color w:val="auto"/>
          <w:sz w:val="24"/>
          <w:szCs w:val="24"/>
        </w:rPr>
        <w:t xml:space="preserve"> </w:t>
      </w:r>
      <w:r>
        <w:rPr>
          <w:rFonts w:ascii="Times New Roman" w:hAnsi="Times New Roman" w:cs="Times New Roman"/>
          <w:b/>
          <w:color w:val="auto"/>
          <w:sz w:val="24"/>
          <w:szCs w:val="24"/>
        </w:rPr>
        <w:t>供应商应具备以下条件</w:t>
      </w:r>
      <w:r>
        <w:rPr>
          <w:rFonts w:ascii="Times New Roman" w:hAnsi="Times New Roman" w:cs="Times New Roman"/>
          <w:bCs/>
          <w:color w:val="auto"/>
          <w:sz w:val="24"/>
          <w:szCs w:val="24"/>
        </w:rPr>
        <w:t>，并提供相关证明材料，对于未提供或提供的材料不符合本文件要求的，磋商小组将拒绝其参加磋商。资格证明文件应真实可靠、不得伪造。响应文件正本中提交的资格证明文件为复印件的，应加盖公章。</w:t>
      </w:r>
    </w:p>
    <w:p>
      <w:pPr>
        <w:spacing w:line="440" w:lineRule="exact"/>
        <w:ind w:left="360" w:hanging="360" w:hangingChars="150"/>
        <w:rPr>
          <w:rFonts w:ascii="Times New Roman" w:hAnsi="Times New Roman" w:cs="Times New Roman"/>
          <w:bCs/>
          <w:color w:val="auto"/>
          <w:sz w:val="24"/>
          <w:szCs w:val="24"/>
        </w:rPr>
      </w:pPr>
      <w:r>
        <w:rPr>
          <w:rFonts w:ascii="Times New Roman" w:hAnsi="Times New Roman" w:cs="Times New Roman"/>
          <w:bCs/>
          <w:color w:val="auto"/>
          <w:sz w:val="24"/>
          <w:szCs w:val="24"/>
        </w:rPr>
        <w:t>3.1具备《政府采购法》第二十二条第一款规定的条件，并</w:t>
      </w:r>
      <w:r>
        <w:rPr>
          <w:rFonts w:hint="eastAsia" w:ascii="Times New Roman" w:hAnsi="Times New Roman" w:cs="Times New Roman"/>
          <w:bCs/>
          <w:color w:val="auto"/>
          <w:sz w:val="24"/>
          <w:szCs w:val="24"/>
        </w:rPr>
        <w:t>在磋商现场</w:t>
      </w:r>
      <w:r>
        <w:rPr>
          <w:rFonts w:ascii="Times New Roman" w:hAnsi="Times New Roman" w:cs="Times New Roman"/>
          <w:bCs/>
          <w:color w:val="auto"/>
          <w:sz w:val="24"/>
          <w:szCs w:val="24"/>
        </w:rPr>
        <w:t>提供以下证明材料：</w:t>
      </w:r>
    </w:p>
    <w:p>
      <w:pPr>
        <w:spacing w:line="440" w:lineRule="exact"/>
        <w:ind w:left="360" w:hanging="360" w:hangingChars="150"/>
        <w:rPr>
          <w:rFonts w:ascii="Times New Roman" w:hAnsi="Times New Roman" w:cs="Times New Roman"/>
          <w:bCs/>
          <w:color w:val="auto"/>
          <w:sz w:val="24"/>
          <w:szCs w:val="24"/>
        </w:rPr>
      </w:pPr>
      <w:r>
        <w:rPr>
          <w:rFonts w:ascii="Times New Roman" w:hAnsi="Times New Roman" w:cs="Times New Roman"/>
          <w:bCs/>
          <w:color w:val="auto"/>
          <w:sz w:val="24"/>
          <w:szCs w:val="24"/>
        </w:rPr>
        <w:t>1）法人或者其他组织的营业执照</w:t>
      </w:r>
      <w:r>
        <w:rPr>
          <w:rFonts w:hint="eastAsia" w:ascii="宋体" w:hAnsi="宋体" w:cs="宋体"/>
          <w:color w:val="auto"/>
          <w:kern w:val="0"/>
          <w:sz w:val="24"/>
          <w:szCs w:val="24"/>
        </w:rPr>
        <w:t>（营业执照经营范围须包括“园林绿化”）</w:t>
      </w:r>
      <w:r>
        <w:rPr>
          <w:rFonts w:ascii="Times New Roman" w:hAnsi="Times New Roman" w:cs="Times New Roman"/>
          <w:bCs/>
          <w:color w:val="auto"/>
          <w:sz w:val="24"/>
          <w:szCs w:val="24"/>
        </w:rPr>
        <w:t>等证明</w:t>
      </w:r>
      <w:r>
        <w:rPr>
          <w:rFonts w:hint="eastAsia" w:ascii="Times New Roman" w:hAnsi="Times New Roman" w:cs="Times New Roman"/>
          <w:bCs/>
          <w:color w:val="auto"/>
          <w:sz w:val="24"/>
          <w:szCs w:val="24"/>
        </w:rPr>
        <w:t>原</w:t>
      </w:r>
      <w:r>
        <w:rPr>
          <w:rFonts w:ascii="Times New Roman" w:hAnsi="Times New Roman" w:cs="Times New Roman"/>
          <w:bCs/>
          <w:color w:val="auto"/>
          <w:sz w:val="24"/>
          <w:szCs w:val="24"/>
        </w:rPr>
        <w:t>件，如供应商是自然人的提供身份证明材料；</w:t>
      </w:r>
    </w:p>
    <w:p>
      <w:pPr>
        <w:spacing w:line="440" w:lineRule="exact"/>
        <w:ind w:left="360" w:hanging="360" w:hangingChars="150"/>
        <w:rPr>
          <w:rFonts w:ascii="Times New Roman" w:hAnsi="Times New Roman" w:cs="Times New Roman"/>
          <w:bCs/>
          <w:color w:val="auto"/>
          <w:sz w:val="24"/>
          <w:szCs w:val="24"/>
        </w:rPr>
      </w:pPr>
      <w:r>
        <w:rPr>
          <w:rFonts w:hint="eastAsia" w:ascii="宋体" w:hAnsi="宋体" w:cs="宋体"/>
          <w:color w:val="auto"/>
          <w:kern w:val="0"/>
          <w:sz w:val="24"/>
          <w:szCs w:val="24"/>
        </w:rPr>
        <w:t>2）拟派项目负责人应具备市政公用工程二级建造师或园林专业中级职称及以上证书原件，具有多年的园林从业经验。</w:t>
      </w:r>
    </w:p>
    <w:p>
      <w:pPr>
        <w:spacing w:line="440" w:lineRule="exact"/>
        <w:ind w:left="360" w:hanging="360" w:hangingChars="150"/>
        <w:rPr>
          <w:rFonts w:ascii="Times New Roman" w:hAnsi="Times New Roman" w:cs="Times New Roman"/>
          <w:bCs/>
          <w:color w:val="auto"/>
          <w:sz w:val="24"/>
          <w:szCs w:val="24"/>
        </w:rPr>
      </w:pPr>
      <w:r>
        <w:rPr>
          <w:rFonts w:ascii="Times New Roman" w:hAnsi="Times New Roman" w:cs="Times New Roman"/>
          <w:bCs/>
          <w:color w:val="auto"/>
          <w:sz w:val="24"/>
          <w:szCs w:val="24"/>
        </w:rPr>
        <w:t>3）财务状况报告，依法缴纳税收和社会保障资金的相关材料；</w:t>
      </w:r>
    </w:p>
    <w:p>
      <w:pPr>
        <w:spacing w:line="440" w:lineRule="exact"/>
        <w:ind w:left="360" w:hanging="360" w:hangingChars="150"/>
        <w:rPr>
          <w:rFonts w:ascii="Times New Roman" w:hAnsi="Times New Roman" w:cs="Times New Roman"/>
          <w:bCs/>
          <w:color w:val="auto"/>
          <w:sz w:val="24"/>
          <w:szCs w:val="24"/>
        </w:rPr>
      </w:pPr>
      <w:r>
        <w:rPr>
          <w:rFonts w:ascii="Times New Roman" w:hAnsi="Times New Roman" w:cs="Times New Roman"/>
          <w:bCs/>
          <w:color w:val="auto"/>
          <w:sz w:val="24"/>
          <w:szCs w:val="24"/>
        </w:rPr>
        <w:t>4）具备履行</w:t>
      </w:r>
      <w:r>
        <w:rPr>
          <w:rFonts w:hint="eastAsia" w:ascii="Times New Roman" w:hAnsi="Times New Roman" w:cs="Times New Roman"/>
          <w:bCs/>
          <w:color w:val="auto"/>
          <w:sz w:val="24"/>
          <w:szCs w:val="24"/>
        </w:rPr>
        <w:t>本项目</w:t>
      </w:r>
      <w:r>
        <w:rPr>
          <w:rFonts w:ascii="Times New Roman" w:hAnsi="Times New Roman" w:cs="Times New Roman"/>
          <w:bCs/>
          <w:color w:val="auto"/>
          <w:sz w:val="24"/>
          <w:szCs w:val="24"/>
        </w:rPr>
        <w:t>所必需的设备和专业技术能力的证明材料；</w:t>
      </w:r>
    </w:p>
    <w:p>
      <w:pPr>
        <w:spacing w:line="440" w:lineRule="exact"/>
        <w:ind w:left="360" w:hanging="360" w:hangingChars="150"/>
        <w:rPr>
          <w:rFonts w:ascii="Times New Roman" w:hAnsi="Times New Roman" w:cs="Times New Roman"/>
          <w:bCs/>
          <w:color w:val="auto"/>
          <w:sz w:val="24"/>
          <w:szCs w:val="24"/>
        </w:rPr>
      </w:pPr>
      <w:r>
        <w:rPr>
          <w:rFonts w:ascii="Times New Roman" w:hAnsi="Times New Roman" w:cs="Times New Roman"/>
          <w:bCs/>
          <w:color w:val="auto"/>
          <w:sz w:val="24"/>
          <w:szCs w:val="24"/>
        </w:rPr>
        <w:t>5）</w:t>
      </w:r>
      <w:r>
        <w:rPr>
          <w:bCs/>
          <w:color w:val="auto"/>
          <w:sz w:val="24"/>
        </w:rPr>
        <w:t>参加政府采购活动前3年内在经营活动中没有重大违法记录的书面声明</w:t>
      </w:r>
      <w:r>
        <w:rPr>
          <w:rFonts w:ascii="Times New Roman" w:hAnsi="Times New Roman" w:cs="Times New Roman"/>
          <w:bCs/>
          <w:color w:val="auto"/>
          <w:sz w:val="24"/>
          <w:szCs w:val="24"/>
        </w:rPr>
        <w:t>；</w:t>
      </w:r>
    </w:p>
    <w:p>
      <w:pPr>
        <w:spacing w:line="440" w:lineRule="exact"/>
        <w:ind w:left="360" w:hanging="360" w:hangingChars="150"/>
        <w:rPr>
          <w:rFonts w:ascii="Times New Roman" w:hAnsi="Times New Roman" w:cs="Times New Roman"/>
          <w:bCs/>
          <w:color w:val="auto"/>
          <w:sz w:val="24"/>
          <w:szCs w:val="24"/>
        </w:rPr>
      </w:pPr>
      <w:r>
        <w:rPr>
          <w:rFonts w:ascii="Times New Roman" w:hAnsi="Times New Roman" w:cs="Times New Roman"/>
          <w:bCs/>
          <w:color w:val="auto"/>
          <w:sz w:val="24"/>
          <w:szCs w:val="24"/>
        </w:rPr>
        <w:t>3.2如经营、开发或承担本采购项目的货物、服务国家有相关资质要求、或强制性规范、或行业标准的，应已经取得并提供相应的资质证书；</w:t>
      </w:r>
    </w:p>
    <w:p>
      <w:pPr>
        <w:spacing w:line="440" w:lineRule="exact"/>
        <w:ind w:left="360" w:hanging="360" w:hangingChars="150"/>
        <w:rPr>
          <w:rFonts w:hint="eastAsia" w:ascii="Times New Roman" w:hAnsi="Times New Roman" w:cs="Times New Roman"/>
          <w:bCs/>
          <w:color w:val="auto"/>
          <w:sz w:val="24"/>
          <w:szCs w:val="24"/>
        </w:rPr>
      </w:pPr>
      <w:r>
        <w:rPr>
          <w:rFonts w:ascii="Times New Roman" w:hAnsi="Times New Roman" w:cs="Times New Roman"/>
          <w:bCs/>
          <w:color w:val="auto"/>
          <w:sz w:val="24"/>
          <w:szCs w:val="24"/>
        </w:rPr>
        <w:t>3.3未被列入“信用中国”网站(www.creditchina. gov.cn)失信被执行人、重大税收违法案件当事人名单、政府采购严重违法失信行为记录名单的网页打印件</w:t>
      </w:r>
      <w:r>
        <w:rPr>
          <w:rFonts w:hint="eastAsia" w:ascii="Times New Roman" w:hAnsi="Times New Roman" w:cs="Times New Roman"/>
          <w:bCs/>
          <w:color w:val="auto"/>
          <w:sz w:val="24"/>
          <w:szCs w:val="24"/>
        </w:rPr>
        <w:t>；</w:t>
      </w:r>
    </w:p>
    <w:p>
      <w:pPr>
        <w:spacing w:line="440" w:lineRule="exact"/>
        <w:ind w:left="360" w:hanging="360" w:hangingChars="150"/>
        <w:rPr>
          <w:rFonts w:ascii="Times New Roman" w:hAnsi="Times New Roman" w:cs="Times New Roman"/>
          <w:bCs/>
          <w:color w:val="auto"/>
          <w:sz w:val="24"/>
          <w:szCs w:val="24"/>
        </w:rPr>
      </w:pPr>
      <w:r>
        <w:rPr>
          <w:rFonts w:hint="eastAsia" w:ascii="Times New Roman" w:hAnsi="Times New Roman" w:cs="Times New Roman"/>
          <w:bCs/>
          <w:color w:val="auto"/>
          <w:sz w:val="24"/>
          <w:szCs w:val="24"/>
          <w:lang w:val="en-US" w:eastAsia="zh-CN"/>
        </w:rPr>
        <w:t>3.4</w:t>
      </w:r>
      <w:r>
        <w:rPr>
          <w:rFonts w:hint="eastAsia" w:ascii="Times New Roman" w:hAnsi="Times New Roman" w:cs="Times New Roman"/>
          <w:bCs/>
          <w:color w:val="auto"/>
          <w:sz w:val="24"/>
          <w:szCs w:val="24"/>
        </w:rPr>
        <w:t>供应商在本项目投标文件递交截止时，</w:t>
      </w:r>
      <w:r>
        <w:rPr>
          <w:rFonts w:hint="eastAsia" w:ascii="Times New Roman" w:hAnsi="Times New Roman" w:cs="Times New Roman"/>
          <w:bCs/>
          <w:color w:val="auto"/>
          <w:sz w:val="24"/>
          <w:szCs w:val="24"/>
          <w:lang w:val="en-US" w:eastAsia="zh-CN"/>
        </w:rPr>
        <w:t>未</w:t>
      </w:r>
      <w:r>
        <w:rPr>
          <w:rFonts w:hint="eastAsia" w:ascii="Times New Roman" w:hAnsi="Times New Roman" w:cs="Times New Roman"/>
          <w:bCs/>
          <w:color w:val="auto"/>
          <w:sz w:val="24"/>
          <w:szCs w:val="24"/>
        </w:rPr>
        <w:t>出现因拖欠劳动者工资受到行政处理处罚尚在处理处罚期限内的或者因拖欠劳动者工资经人民法院判决且未执行完毕的或者未自觉履行完毕的情形</w:t>
      </w:r>
      <w:r>
        <w:rPr>
          <w:rFonts w:hint="eastAsia" w:ascii="Times New Roman" w:hAnsi="Times New Roman" w:cs="Times New Roman"/>
          <w:bCs/>
          <w:color w:val="auto"/>
          <w:sz w:val="24"/>
          <w:szCs w:val="24"/>
          <w:lang w:eastAsia="zh-CN"/>
        </w:rPr>
        <w:t>（</w:t>
      </w:r>
      <w:r>
        <w:rPr>
          <w:rFonts w:hint="eastAsia" w:ascii="Times New Roman" w:hAnsi="Times New Roman" w:cs="Times New Roman"/>
          <w:bCs/>
          <w:color w:val="auto"/>
          <w:sz w:val="24"/>
          <w:szCs w:val="24"/>
          <w:lang w:val="en-US" w:eastAsia="zh-CN"/>
        </w:rPr>
        <w:t>提供书面承诺</w:t>
      </w:r>
      <w:r>
        <w:rPr>
          <w:rFonts w:hint="eastAsia" w:ascii="Times New Roman" w:hAnsi="Times New Roman" w:cs="Times New Roman"/>
          <w:bCs/>
          <w:color w:val="auto"/>
          <w:sz w:val="24"/>
          <w:szCs w:val="24"/>
          <w:lang w:eastAsia="zh-CN"/>
        </w:rPr>
        <w:t>）</w:t>
      </w:r>
      <w:r>
        <w:rPr>
          <w:rFonts w:hint="eastAsia" w:ascii="Times New Roman" w:hAnsi="Times New Roman" w:cs="Times New Roman"/>
          <w:bCs/>
          <w:color w:val="auto"/>
          <w:sz w:val="24"/>
          <w:szCs w:val="24"/>
        </w:rPr>
        <w:t>；</w:t>
      </w:r>
    </w:p>
    <w:p>
      <w:pPr>
        <w:spacing w:line="440" w:lineRule="exact"/>
        <w:rPr>
          <w:rFonts w:ascii="Times New Roman" w:hAnsi="Times New Roman" w:cs="Times New Roman"/>
          <w:bCs/>
          <w:color w:val="auto"/>
          <w:sz w:val="24"/>
          <w:szCs w:val="24"/>
        </w:rPr>
      </w:pPr>
      <w:r>
        <w:rPr>
          <w:rFonts w:ascii="Times New Roman" w:hAnsi="Times New Roman" w:cs="Times New Roman"/>
          <w:bCs/>
          <w:color w:val="auto"/>
          <w:sz w:val="24"/>
          <w:szCs w:val="24"/>
        </w:rPr>
        <w:t>3.</w:t>
      </w:r>
      <w:r>
        <w:rPr>
          <w:rFonts w:hint="eastAsia" w:ascii="Times New Roman" w:hAnsi="Times New Roman" w:cs="Times New Roman"/>
          <w:bCs/>
          <w:color w:val="auto"/>
          <w:sz w:val="24"/>
          <w:szCs w:val="24"/>
          <w:lang w:val="en-US" w:eastAsia="zh-CN"/>
        </w:rPr>
        <w:t>5</w:t>
      </w:r>
      <w:r>
        <w:rPr>
          <w:rFonts w:ascii="Times New Roman" w:hAnsi="Times New Roman" w:cs="Times New Roman"/>
          <w:bCs/>
          <w:color w:val="auto"/>
          <w:sz w:val="24"/>
          <w:szCs w:val="24"/>
        </w:rPr>
        <w:t>本文件第一章第五条除上述以外的条款。</w:t>
      </w:r>
    </w:p>
    <w:p>
      <w:pPr>
        <w:spacing w:line="440" w:lineRule="exact"/>
        <w:ind w:left="360" w:hanging="360" w:hangingChars="150"/>
        <w:rPr>
          <w:rFonts w:ascii="Times New Roman" w:hAnsi="Times New Roman" w:cs="Times New Roman"/>
          <w:bCs/>
          <w:color w:val="auto"/>
          <w:sz w:val="24"/>
          <w:szCs w:val="24"/>
        </w:rPr>
      </w:pPr>
      <w:r>
        <w:rPr>
          <w:rFonts w:ascii="Times New Roman" w:hAnsi="Times New Roman" w:cs="Times New Roman"/>
          <w:bCs/>
          <w:color w:val="auto"/>
          <w:sz w:val="24"/>
          <w:szCs w:val="24"/>
        </w:rPr>
        <w:t>4. 费用</w:t>
      </w:r>
    </w:p>
    <w:p>
      <w:pPr>
        <w:spacing w:line="440" w:lineRule="exact"/>
        <w:ind w:left="360" w:hanging="360" w:hangingChars="150"/>
        <w:rPr>
          <w:rFonts w:ascii="Times New Roman" w:hAnsi="Times New Roman" w:cs="Times New Roman"/>
          <w:bCs/>
          <w:color w:val="auto"/>
          <w:sz w:val="24"/>
          <w:szCs w:val="24"/>
        </w:rPr>
      </w:pPr>
      <w:r>
        <w:rPr>
          <w:rFonts w:ascii="Times New Roman" w:hAnsi="Times New Roman" w:cs="Times New Roman"/>
          <w:bCs/>
          <w:color w:val="auto"/>
          <w:sz w:val="24"/>
          <w:szCs w:val="24"/>
        </w:rPr>
        <w:t>4.1供应商应自行承担所有与编写和提交响应文件有关的费用，不论磋商结果如何，采购人和集中采购机构在任何情况下无义务和责任承担此类费用。</w:t>
      </w:r>
    </w:p>
    <w:p>
      <w:pPr>
        <w:spacing w:line="440" w:lineRule="exact"/>
        <w:ind w:left="360" w:hanging="360" w:hangingChars="150"/>
        <w:rPr>
          <w:rFonts w:ascii="Times New Roman" w:hAnsi="Times New Roman" w:cs="Times New Roman"/>
          <w:bCs/>
          <w:color w:val="auto"/>
          <w:sz w:val="24"/>
          <w:szCs w:val="24"/>
        </w:rPr>
      </w:pPr>
      <w:r>
        <w:rPr>
          <w:rFonts w:ascii="Times New Roman" w:hAnsi="Times New Roman" w:cs="Times New Roman"/>
          <w:bCs/>
          <w:color w:val="auto"/>
          <w:sz w:val="24"/>
          <w:szCs w:val="24"/>
        </w:rPr>
        <w:t>4.2集中采购机构不向成交供应商收取服务费。</w:t>
      </w:r>
    </w:p>
    <w:p>
      <w:pPr>
        <w:spacing w:line="440" w:lineRule="exact"/>
        <w:rPr>
          <w:rFonts w:ascii="Times New Roman" w:hAnsi="Times New Roman" w:cs="Times New Roman"/>
          <w:bCs/>
          <w:color w:val="auto"/>
          <w:sz w:val="24"/>
          <w:szCs w:val="24"/>
        </w:rPr>
      </w:pPr>
    </w:p>
    <w:p>
      <w:pPr>
        <w:spacing w:line="440" w:lineRule="exact"/>
        <w:rPr>
          <w:rFonts w:ascii="Times New Roman" w:hAnsi="Times New Roman" w:eastAsia="黑体" w:cs="Times New Roman"/>
          <w:bCs/>
          <w:color w:val="auto"/>
          <w:sz w:val="24"/>
          <w:szCs w:val="24"/>
        </w:rPr>
      </w:pPr>
      <w:r>
        <w:rPr>
          <w:rFonts w:ascii="Times New Roman" w:hAnsi="Times New Roman" w:eastAsia="黑体" w:cs="Times New Roman"/>
          <w:bCs/>
          <w:color w:val="auto"/>
          <w:sz w:val="24"/>
          <w:szCs w:val="24"/>
        </w:rPr>
        <w:t>二、响应文件的编制</w:t>
      </w:r>
    </w:p>
    <w:p>
      <w:pPr>
        <w:spacing w:line="440" w:lineRule="exact"/>
        <w:ind w:left="360" w:hanging="360" w:hangingChars="150"/>
        <w:rPr>
          <w:rFonts w:ascii="Times New Roman" w:hAnsi="Times New Roman" w:cs="Times New Roman"/>
          <w:bCs/>
          <w:color w:val="auto"/>
          <w:sz w:val="24"/>
          <w:szCs w:val="24"/>
        </w:rPr>
      </w:pPr>
      <w:r>
        <w:rPr>
          <w:rFonts w:ascii="Times New Roman" w:hAnsi="Times New Roman" w:cs="Times New Roman"/>
          <w:bCs/>
          <w:color w:val="auto"/>
          <w:sz w:val="24"/>
          <w:szCs w:val="24"/>
        </w:rPr>
        <w:t>5. 响应文件编制基本要求</w:t>
      </w:r>
    </w:p>
    <w:p>
      <w:pPr>
        <w:spacing w:line="440" w:lineRule="exact"/>
        <w:ind w:left="360" w:hanging="360" w:hangingChars="150"/>
        <w:rPr>
          <w:rFonts w:ascii="Times New Roman" w:hAnsi="Times New Roman" w:cs="Times New Roman"/>
          <w:bCs/>
          <w:color w:val="auto"/>
          <w:sz w:val="24"/>
          <w:szCs w:val="24"/>
        </w:rPr>
      </w:pPr>
      <w:r>
        <w:rPr>
          <w:rFonts w:ascii="Times New Roman" w:hAnsi="Times New Roman" w:cs="Times New Roman"/>
          <w:bCs/>
          <w:color w:val="auto"/>
          <w:sz w:val="24"/>
          <w:szCs w:val="24"/>
        </w:rPr>
        <w:t>5.1响应文件以及与集中采购机构和采购人就有关磋商的所有</w:t>
      </w:r>
      <w:r>
        <w:rPr>
          <w:rFonts w:hint="eastAsia" w:ascii="Times New Roman" w:hAnsi="Times New Roman" w:cs="Times New Roman"/>
          <w:bCs/>
          <w:color w:val="auto"/>
          <w:sz w:val="24"/>
          <w:szCs w:val="24"/>
        </w:rPr>
        <w:t>往来</w:t>
      </w:r>
      <w:r>
        <w:rPr>
          <w:rFonts w:ascii="Times New Roman" w:hAnsi="Times New Roman" w:cs="Times New Roman"/>
          <w:bCs/>
          <w:color w:val="auto"/>
          <w:sz w:val="24"/>
          <w:szCs w:val="24"/>
        </w:rPr>
        <w:t>函电均应使用简体中文。</w:t>
      </w:r>
    </w:p>
    <w:p>
      <w:pPr>
        <w:spacing w:line="440" w:lineRule="exact"/>
        <w:ind w:left="360" w:hanging="360" w:hangingChars="150"/>
        <w:rPr>
          <w:rFonts w:ascii="Times New Roman" w:hAnsi="Times New Roman" w:cs="Times New Roman"/>
          <w:bCs/>
          <w:color w:val="auto"/>
          <w:sz w:val="24"/>
          <w:szCs w:val="24"/>
        </w:rPr>
      </w:pPr>
      <w:r>
        <w:rPr>
          <w:rFonts w:ascii="Times New Roman" w:hAnsi="Times New Roman" w:cs="Times New Roman"/>
          <w:bCs/>
          <w:color w:val="auto"/>
          <w:sz w:val="24"/>
          <w:szCs w:val="24"/>
        </w:rPr>
        <w:t>5.2供应商应认真阅读、并充分理解本文件的全部内容（包括所有的补充、修改内容），承诺并履行本文件中各项条款规定及要求。</w:t>
      </w:r>
    </w:p>
    <w:p>
      <w:pPr>
        <w:spacing w:line="440" w:lineRule="exact"/>
        <w:ind w:left="360" w:hanging="360" w:hangingChars="150"/>
        <w:rPr>
          <w:rFonts w:ascii="Times New Roman" w:hAnsi="Times New Roman" w:cs="Times New Roman"/>
          <w:bCs/>
          <w:color w:val="auto"/>
          <w:sz w:val="24"/>
          <w:szCs w:val="24"/>
        </w:rPr>
      </w:pPr>
      <w:r>
        <w:rPr>
          <w:rFonts w:ascii="Times New Roman" w:hAnsi="Times New Roman" w:cs="Times New Roman"/>
          <w:bCs/>
          <w:color w:val="auto"/>
          <w:sz w:val="24"/>
          <w:szCs w:val="24"/>
        </w:rPr>
        <w:t>5.3响应文件应按本文件的全部内容，包括所有的补充通知及附件进行编制。供应商受邀参加本文件多个包磋商的，其响应文件的编制应按每包要求分别装订和封装。</w:t>
      </w:r>
    </w:p>
    <w:p>
      <w:pPr>
        <w:spacing w:line="440" w:lineRule="exact"/>
        <w:ind w:left="360" w:hanging="360" w:hangingChars="150"/>
        <w:rPr>
          <w:rFonts w:ascii="Times New Roman" w:hAnsi="Times New Roman" w:cs="Times New Roman"/>
          <w:bCs/>
          <w:color w:val="auto"/>
          <w:sz w:val="24"/>
          <w:szCs w:val="24"/>
        </w:rPr>
      </w:pPr>
      <w:r>
        <w:rPr>
          <w:rFonts w:ascii="Times New Roman" w:hAnsi="Times New Roman" w:cs="Times New Roman"/>
          <w:bCs/>
          <w:color w:val="auto"/>
          <w:sz w:val="24"/>
          <w:szCs w:val="24"/>
        </w:rPr>
        <w:t>5.4如因供应商只填写和提供了本文件要求的部分内容和附件，磋商小组有权拒绝其补充和磋商。</w:t>
      </w:r>
    </w:p>
    <w:p>
      <w:pPr>
        <w:spacing w:line="440" w:lineRule="exact"/>
        <w:ind w:left="360" w:hanging="360" w:hangingChars="150"/>
        <w:rPr>
          <w:rFonts w:ascii="Times New Roman" w:hAnsi="Times New Roman" w:cs="Times New Roman"/>
          <w:bCs/>
          <w:color w:val="auto"/>
          <w:sz w:val="24"/>
          <w:szCs w:val="24"/>
        </w:rPr>
      </w:pPr>
      <w:r>
        <w:rPr>
          <w:rFonts w:ascii="Times New Roman" w:hAnsi="Times New Roman" w:cs="Times New Roman"/>
          <w:bCs/>
          <w:color w:val="auto"/>
          <w:sz w:val="24"/>
          <w:szCs w:val="24"/>
        </w:rPr>
        <w:t>5.5响应文件的组成</w:t>
      </w:r>
    </w:p>
    <w:p>
      <w:pPr>
        <w:spacing w:line="440" w:lineRule="exact"/>
        <w:ind w:left="315" w:leftChars="150"/>
        <w:rPr>
          <w:rFonts w:ascii="Times New Roman" w:hAnsi="Times New Roman" w:cs="Times New Roman"/>
          <w:bCs/>
          <w:color w:val="auto"/>
          <w:sz w:val="24"/>
          <w:szCs w:val="24"/>
        </w:rPr>
      </w:pPr>
      <w:r>
        <w:rPr>
          <w:rFonts w:ascii="Times New Roman" w:hAnsi="Times New Roman" w:cs="Times New Roman"/>
          <w:bCs/>
          <w:color w:val="auto"/>
          <w:sz w:val="24"/>
          <w:szCs w:val="24"/>
        </w:rPr>
        <w:t>不限于以下内容,应该有的必须提供,如未提供,磋商小组有权拒绝其响应文件：</w:t>
      </w:r>
    </w:p>
    <w:p>
      <w:pPr>
        <w:spacing w:line="440" w:lineRule="exact"/>
        <w:rPr>
          <w:rFonts w:ascii="Times New Roman" w:hAnsi="Times New Roman" w:cs="Times New Roman"/>
          <w:bCs/>
          <w:color w:val="auto"/>
          <w:sz w:val="24"/>
          <w:szCs w:val="24"/>
        </w:rPr>
      </w:pPr>
      <w:r>
        <w:rPr>
          <w:rFonts w:ascii="Times New Roman" w:hAnsi="Times New Roman" w:cs="Times New Roman"/>
          <w:bCs/>
          <w:color w:val="auto"/>
          <w:sz w:val="24"/>
          <w:szCs w:val="24"/>
        </w:rPr>
        <w:t>1）磋商书 (附件1) ；</w:t>
      </w:r>
    </w:p>
    <w:p>
      <w:pPr>
        <w:spacing w:line="440" w:lineRule="exact"/>
        <w:rPr>
          <w:rFonts w:ascii="Times New Roman" w:hAnsi="Times New Roman" w:cs="Times New Roman"/>
          <w:bCs/>
          <w:color w:val="auto"/>
          <w:sz w:val="24"/>
          <w:szCs w:val="24"/>
        </w:rPr>
      </w:pPr>
      <w:r>
        <w:rPr>
          <w:rFonts w:ascii="Times New Roman" w:hAnsi="Times New Roman" w:cs="Times New Roman"/>
          <w:bCs/>
          <w:color w:val="auto"/>
          <w:sz w:val="24"/>
          <w:szCs w:val="24"/>
        </w:rPr>
        <w:t>2）报价组成情况表(附件2) ；</w:t>
      </w:r>
    </w:p>
    <w:p>
      <w:pPr>
        <w:spacing w:line="440" w:lineRule="exac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3）</w:t>
      </w:r>
      <w:r>
        <w:rPr>
          <w:rFonts w:ascii="Times New Roman" w:hAnsi="Times New Roman" w:eastAsia="宋体" w:cs="Times New Roman"/>
          <w:color w:val="auto"/>
          <w:sz w:val="24"/>
          <w:szCs w:val="24"/>
        </w:rPr>
        <w:t>拟投入设备清单(附件3)</w:t>
      </w:r>
    </w:p>
    <w:p>
      <w:pPr>
        <w:spacing w:line="440" w:lineRule="exact"/>
        <w:rPr>
          <w:rFonts w:ascii="Times New Roman" w:hAnsi="Times New Roman" w:cs="Times New Roman"/>
          <w:bCs/>
          <w:color w:val="auto"/>
          <w:sz w:val="24"/>
          <w:szCs w:val="24"/>
        </w:rPr>
      </w:pPr>
      <w:r>
        <w:rPr>
          <w:rFonts w:ascii="Times New Roman" w:hAnsi="Times New Roman" w:cs="Times New Roman"/>
          <w:bCs/>
          <w:color w:val="auto"/>
          <w:sz w:val="24"/>
          <w:szCs w:val="24"/>
        </w:rPr>
        <w:t>4）</w:t>
      </w:r>
      <w:r>
        <w:rPr>
          <w:rFonts w:hint="eastAsia" w:ascii="Times New Roman" w:hAnsi="Times New Roman" w:cs="Times New Roman"/>
          <w:bCs/>
          <w:color w:val="auto"/>
          <w:sz w:val="24"/>
          <w:szCs w:val="24"/>
        </w:rPr>
        <w:t>近3年类似项目</w:t>
      </w:r>
      <w:r>
        <w:rPr>
          <w:rFonts w:ascii="Times New Roman" w:hAnsi="Times New Roman" w:cs="Times New Roman"/>
          <w:bCs/>
          <w:color w:val="auto"/>
          <w:sz w:val="24"/>
          <w:szCs w:val="24"/>
        </w:rPr>
        <w:t>业绩(附件4)；</w:t>
      </w:r>
    </w:p>
    <w:p>
      <w:pPr>
        <w:spacing w:line="440" w:lineRule="exact"/>
        <w:rPr>
          <w:rFonts w:ascii="Times New Roman" w:hAnsi="Times New Roman" w:cs="Times New Roman"/>
          <w:bCs/>
          <w:color w:val="auto"/>
          <w:sz w:val="24"/>
          <w:szCs w:val="24"/>
        </w:rPr>
      </w:pPr>
      <w:r>
        <w:rPr>
          <w:rFonts w:ascii="Times New Roman" w:hAnsi="Times New Roman" w:cs="Times New Roman"/>
          <w:bCs/>
          <w:color w:val="auto"/>
          <w:sz w:val="24"/>
          <w:szCs w:val="24"/>
        </w:rPr>
        <w:t>5）</w:t>
      </w:r>
      <w:r>
        <w:rPr>
          <w:rFonts w:hint="eastAsia" w:ascii="Times New Roman" w:hAnsi="Times New Roman" w:cs="Times New Roman"/>
          <w:bCs/>
          <w:color w:val="auto"/>
          <w:sz w:val="24"/>
          <w:szCs w:val="24"/>
        </w:rPr>
        <w:t>法人</w:t>
      </w:r>
      <w:r>
        <w:rPr>
          <w:rFonts w:ascii="Times New Roman" w:hAnsi="Times New Roman" w:cs="Times New Roman"/>
          <w:bCs/>
          <w:color w:val="auto"/>
          <w:sz w:val="24"/>
          <w:szCs w:val="24"/>
        </w:rPr>
        <w:t>身份证明书</w:t>
      </w:r>
      <w:r>
        <w:rPr>
          <w:rFonts w:hint="eastAsia" w:ascii="Times New Roman" w:hAnsi="Times New Roman" w:cs="Times New Roman"/>
          <w:bCs/>
          <w:color w:val="auto"/>
          <w:sz w:val="24"/>
          <w:szCs w:val="24"/>
        </w:rPr>
        <w:t>（附件5）</w:t>
      </w:r>
    </w:p>
    <w:p>
      <w:pPr>
        <w:spacing w:line="440" w:lineRule="exact"/>
        <w:rPr>
          <w:rFonts w:ascii="Times New Roman" w:hAnsi="Times New Roman" w:cs="Times New Roman"/>
          <w:bCs/>
          <w:color w:val="auto"/>
          <w:sz w:val="24"/>
          <w:szCs w:val="24"/>
        </w:rPr>
      </w:pPr>
      <w:r>
        <w:rPr>
          <w:rFonts w:ascii="Times New Roman" w:hAnsi="Times New Roman" w:cs="Times New Roman"/>
          <w:bCs/>
          <w:color w:val="auto"/>
          <w:sz w:val="24"/>
          <w:szCs w:val="24"/>
        </w:rPr>
        <w:t>6）法人（负责人）代表授权书（附件6）；</w:t>
      </w:r>
    </w:p>
    <w:p>
      <w:pPr>
        <w:spacing w:line="440" w:lineRule="exact"/>
        <w:rPr>
          <w:rFonts w:ascii="Times New Roman" w:hAnsi="Times New Roman" w:cs="Times New Roman"/>
          <w:bCs/>
          <w:color w:val="auto"/>
          <w:sz w:val="24"/>
          <w:szCs w:val="24"/>
        </w:rPr>
      </w:pPr>
      <w:r>
        <w:rPr>
          <w:rFonts w:ascii="Times New Roman" w:hAnsi="Times New Roman" w:cs="Times New Roman"/>
          <w:bCs/>
          <w:color w:val="auto"/>
          <w:sz w:val="24"/>
          <w:szCs w:val="24"/>
        </w:rPr>
        <w:t>7）法人或者其他组织的营业执照等证明文件，自然人的身份证明(附件7)；</w:t>
      </w:r>
    </w:p>
    <w:p>
      <w:pPr>
        <w:spacing w:line="440" w:lineRule="exact"/>
        <w:rPr>
          <w:rFonts w:ascii="Times New Roman" w:hAnsi="Times New Roman" w:cs="Times New Roman"/>
          <w:bCs/>
          <w:color w:val="auto"/>
          <w:sz w:val="24"/>
          <w:szCs w:val="24"/>
        </w:rPr>
      </w:pPr>
      <w:r>
        <w:rPr>
          <w:rFonts w:ascii="Times New Roman" w:hAnsi="Times New Roman" w:cs="Times New Roman"/>
          <w:bCs/>
          <w:color w:val="auto"/>
          <w:sz w:val="24"/>
          <w:szCs w:val="24"/>
        </w:rPr>
        <w:t>8）财务状况报告，依法缴纳税收和社会保障资金的相关材料(附件8)；</w:t>
      </w:r>
    </w:p>
    <w:p>
      <w:pPr>
        <w:spacing w:line="440" w:lineRule="exact"/>
        <w:ind w:left="240" w:hanging="240" w:hangingChars="100"/>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9）参加政府采购活动前3年内在经营活动中没有重大违法记录的书面声明(附件9)； </w:t>
      </w:r>
    </w:p>
    <w:p>
      <w:pPr>
        <w:spacing w:line="440" w:lineRule="exact"/>
        <w:ind w:left="360" w:hanging="360" w:hangingChars="150"/>
        <w:rPr>
          <w:rFonts w:ascii="Times New Roman" w:hAnsi="Times New Roman" w:cs="Times New Roman"/>
          <w:bCs/>
          <w:color w:val="auto"/>
          <w:sz w:val="24"/>
          <w:szCs w:val="24"/>
        </w:rPr>
      </w:pPr>
      <w:r>
        <w:rPr>
          <w:rFonts w:ascii="Times New Roman" w:hAnsi="Times New Roman" w:cs="Times New Roman"/>
          <w:bCs/>
          <w:color w:val="auto"/>
          <w:sz w:val="24"/>
          <w:szCs w:val="24"/>
        </w:rPr>
        <w:t>10）未被列入“信用中国”网站(www.creditchina. gov.cn)失信被执行人、重大税收违法案件当事人名单、政府采购严重违法失信行为记录名单的网页打印件(附件10)。</w:t>
      </w:r>
    </w:p>
    <w:p>
      <w:pPr>
        <w:spacing w:line="440" w:lineRule="exac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11）</w:t>
      </w:r>
      <w:r>
        <w:rPr>
          <w:rFonts w:hint="eastAsia" w:ascii="Times New Roman" w:hAnsi="Times New Roman" w:cs="Times New Roman"/>
          <w:color w:val="auto"/>
          <w:sz w:val="24"/>
          <w:szCs w:val="24"/>
        </w:rPr>
        <w:t>拟派人员不得少</w:t>
      </w:r>
      <w:r>
        <w:rPr>
          <w:rFonts w:hint="eastAsia" w:ascii="Times New Roman" w:hAnsi="Times New Roman" w:cs="Times New Roman"/>
          <w:color w:val="auto"/>
          <w:sz w:val="24"/>
          <w:szCs w:val="24"/>
        </w:rPr>
        <w:t>于</w:t>
      </w:r>
      <w:r>
        <w:rPr>
          <w:rFonts w:ascii="Times New Roman" w:hAnsi="Times New Roman" w:cs="Times New Roman"/>
          <w:color w:val="auto"/>
          <w:sz w:val="24"/>
          <w:szCs w:val="24"/>
        </w:rPr>
        <w:t>5</w:t>
      </w:r>
      <w:r>
        <w:rPr>
          <w:rFonts w:hint="eastAsia" w:ascii="Times New Roman" w:hAnsi="Times New Roman" w:cs="Times New Roman"/>
          <w:color w:val="auto"/>
          <w:sz w:val="24"/>
          <w:szCs w:val="24"/>
        </w:rPr>
        <w:t>人；</w:t>
      </w:r>
    </w:p>
    <w:p>
      <w:pPr>
        <w:spacing w:line="440" w:lineRule="exact"/>
        <w:ind w:firstLine="360" w:firstLineChars="150"/>
        <w:rPr>
          <w:rFonts w:ascii="Times New Roman" w:hAnsi="Times New Roman" w:cs="Times New Roman"/>
          <w:bCs/>
          <w:color w:val="auto"/>
          <w:sz w:val="24"/>
          <w:szCs w:val="24"/>
        </w:rPr>
      </w:pPr>
      <w:r>
        <w:rPr>
          <w:rFonts w:ascii="Times New Roman" w:hAnsi="Times New Roman" w:cs="Times New Roman"/>
          <w:bCs/>
          <w:color w:val="auto"/>
          <w:sz w:val="24"/>
          <w:szCs w:val="24"/>
        </w:rPr>
        <w:t>本文件要求提供的其他资格证明文件及资料。</w:t>
      </w:r>
    </w:p>
    <w:p>
      <w:pPr>
        <w:spacing w:line="440" w:lineRule="exact"/>
        <w:ind w:left="360" w:hanging="360" w:hangingChars="150"/>
        <w:rPr>
          <w:rFonts w:ascii="Times New Roman" w:hAnsi="Times New Roman" w:cs="Times New Roman"/>
          <w:bCs/>
          <w:color w:val="auto"/>
          <w:sz w:val="24"/>
          <w:szCs w:val="24"/>
        </w:rPr>
      </w:pPr>
      <w:r>
        <w:rPr>
          <w:rFonts w:ascii="Times New Roman" w:hAnsi="Times New Roman" w:cs="Times New Roman"/>
          <w:bCs/>
          <w:color w:val="auto"/>
          <w:sz w:val="24"/>
          <w:szCs w:val="24"/>
        </w:rPr>
        <w:t>6. 计量单位</w:t>
      </w:r>
    </w:p>
    <w:p>
      <w:pPr>
        <w:spacing w:line="440" w:lineRule="exact"/>
        <w:ind w:left="360" w:hanging="360" w:hangingChars="150"/>
        <w:rPr>
          <w:rFonts w:ascii="Times New Roman" w:hAnsi="Times New Roman" w:cs="Times New Roman"/>
          <w:bCs/>
          <w:color w:val="auto"/>
          <w:sz w:val="24"/>
          <w:szCs w:val="24"/>
        </w:rPr>
      </w:pPr>
      <w:r>
        <w:rPr>
          <w:rFonts w:ascii="Times New Roman" w:hAnsi="Times New Roman" w:cs="Times New Roman"/>
          <w:bCs/>
          <w:color w:val="auto"/>
          <w:sz w:val="24"/>
          <w:szCs w:val="24"/>
        </w:rPr>
        <w:t>6.1除技术要求中另有规定外，本文件所使用的计量单位均应采用国家法定计量单位。</w:t>
      </w:r>
    </w:p>
    <w:p>
      <w:pPr>
        <w:spacing w:line="440" w:lineRule="exact"/>
        <w:rPr>
          <w:rFonts w:ascii="Times New Roman" w:hAnsi="Times New Roman" w:cs="Times New Roman"/>
          <w:bCs/>
          <w:color w:val="auto"/>
          <w:sz w:val="24"/>
          <w:szCs w:val="24"/>
        </w:rPr>
      </w:pPr>
    </w:p>
    <w:p>
      <w:pPr>
        <w:spacing w:line="440" w:lineRule="exact"/>
        <w:rPr>
          <w:rFonts w:ascii="Times New Roman" w:hAnsi="Times New Roman" w:eastAsia="黑体" w:cs="Times New Roman"/>
          <w:bCs/>
          <w:color w:val="auto"/>
          <w:sz w:val="24"/>
          <w:szCs w:val="24"/>
        </w:rPr>
      </w:pPr>
      <w:r>
        <w:rPr>
          <w:rFonts w:ascii="Times New Roman" w:hAnsi="Times New Roman" w:eastAsia="黑体" w:cs="Times New Roman"/>
          <w:bCs/>
          <w:color w:val="auto"/>
          <w:sz w:val="24"/>
          <w:szCs w:val="24"/>
        </w:rPr>
        <w:t>三、响应文件有效期</w:t>
      </w:r>
    </w:p>
    <w:p>
      <w:pPr>
        <w:spacing w:line="440" w:lineRule="exact"/>
        <w:ind w:left="360" w:hanging="360" w:hangingChars="150"/>
        <w:rPr>
          <w:rFonts w:ascii="Times New Roman" w:hAnsi="Times New Roman" w:cs="Times New Roman"/>
          <w:bCs/>
          <w:color w:val="auto"/>
          <w:sz w:val="24"/>
          <w:szCs w:val="24"/>
        </w:rPr>
      </w:pPr>
      <w:r>
        <w:rPr>
          <w:rFonts w:ascii="Times New Roman" w:hAnsi="Times New Roman" w:cs="Times New Roman"/>
          <w:bCs/>
          <w:color w:val="auto"/>
          <w:sz w:val="24"/>
          <w:szCs w:val="24"/>
        </w:rPr>
        <w:t>7. 本项目磋商内容自磋商之日算</w:t>
      </w:r>
      <w:r>
        <w:rPr>
          <w:bCs/>
          <w:color w:val="auto"/>
          <w:sz w:val="24"/>
        </w:rPr>
        <w:t>起</w:t>
      </w:r>
      <w:r>
        <w:rPr>
          <w:rFonts w:hint="eastAsia"/>
          <w:bCs/>
          <w:color w:val="auto"/>
          <w:sz w:val="24"/>
        </w:rPr>
        <w:t>（</w:t>
      </w:r>
      <w:r>
        <w:rPr>
          <w:rFonts w:hint="eastAsia"/>
          <w:bCs/>
          <w:color w:val="auto"/>
          <w:sz w:val="24"/>
          <w:u w:val="single"/>
        </w:rPr>
        <w:t>60</w:t>
      </w:r>
      <w:r>
        <w:rPr>
          <w:rFonts w:hint="eastAsia"/>
          <w:bCs/>
          <w:color w:val="auto"/>
          <w:sz w:val="24"/>
        </w:rPr>
        <w:t>）</w:t>
      </w:r>
      <w:r>
        <w:rPr>
          <w:bCs/>
          <w:color w:val="auto"/>
          <w:sz w:val="24"/>
        </w:rPr>
        <w:t>日历日</w:t>
      </w:r>
      <w:r>
        <w:rPr>
          <w:rFonts w:hint="eastAsia"/>
          <w:bCs/>
          <w:color w:val="auto"/>
          <w:sz w:val="24"/>
        </w:rPr>
        <w:t>内</w:t>
      </w:r>
      <w:r>
        <w:rPr>
          <w:rFonts w:ascii="Times New Roman" w:hAnsi="Times New Roman" w:cs="Times New Roman"/>
          <w:bCs/>
          <w:color w:val="auto"/>
          <w:sz w:val="24"/>
          <w:szCs w:val="24"/>
        </w:rPr>
        <w:t>保持有效。磋商结束后，在有效期内供应商不得改变磋商报价、服务期及承诺的全部义务。响应文件有效期比本文件规定短的，磋商小组将视响应文件无效予以拒绝。</w:t>
      </w:r>
    </w:p>
    <w:p>
      <w:pPr>
        <w:spacing w:line="440" w:lineRule="exact"/>
        <w:ind w:left="360" w:hanging="360" w:hangingChars="150"/>
        <w:rPr>
          <w:rFonts w:ascii="Times New Roman" w:hAnsi="Times New Roman" w:cs="Times New Roman"/>
          <w:bCs/>
          <w:color w:val="auto"/>
          <w:sz w:val="24"/>
          <w:szCs w:val="24"/>
        </w:rPr>
      </w:pPr>
      <w:r>
        <w:rPr>
          <w:rFonts w:ascii="Times New Roman" w:hAnsi="Times New Roman" w:cs="Times New Roman"/>
          <w:bCs/>
          <w:color w:val="auto"/>
          <w:sz w:val="24"/>
          <w:szCs w:val="24"/>
        </w:rPr>
        <w:t>8. 在特殊情况下，在原磋商有效期满之前，集中采购机构可向供应商提出延长磋商有效期的要求。这种要求与答复均应采用书面形式。供应商可以拒绝集中采购机构的要求，但其响应文件在原有效期期满后将不再有效。同意延长磋商有效期的供应商不允许修改其响应文件。</w:t>
      </w:r>
    </w:p>
    <w:p>
      <w:pPr>
        <w:spacing w:line="440" w:lineRule="exact"/>
        <w:outlineLvl w:val="9"/>
        <w:rPr>
          <w:rFonts w:ascii="Times New Roman" w:hAnsi="Times New Roman" w:cs="Times New Roman"/>
          <w:b/>
          <w:color w:val="auto"/>
          <w:sz w:val="24"/>
          <w:szCs w:val="24"/>
        </w:rPr>
      </w:pPr>
    </w:p>
    <w:p>
      <w:pPr>
        <w:spacing w:line="440" w:lineRule="exact"/>
        <w:outlineLvl w:val="0"/>
        <w:rPr>
          <w:rFonts w:ascii="Times New Roman" w:hAnsi="Times New Roman" w:eastAsia="黑体" w:cs="Times New Roman"/>
          <w:color w:val="auto"/>
          <w:sz w:val="24"/>
          <w:szCs w:val="24"/>
        </w:rPr>
      </w:pPr>
      <w:r>
        <w:rPr>
          <w:rFonts w:ascii="Times New Roman" w:hAnsi="Times New Roman" w:eastAsia="黑体" w:cs="Times New Roman"/>
          <w:color w:val="auto"/>
          <w:sz w:val="24"/>
          <w:szCs w:val="24"/>
        </w:rPr>
        <w:t>四、报价要求</w:t>
      </w:r>
    </w:p>
    <w:p>
      <w:pPr>
        <w:spacing w:line="440" w:lineRule="exact"/>
        <w:ind w:left="360" w:hanging="360" w:hangingChars="150"/>
        <w:rPr>
          <w:rFonts w:ascii="Times New Roman" w:hAnsi="Times New Roman" w:cs="Times New Roman"/>
          <w:color w:val="auto"/>
          <w:sz w:val="24"/>
          <w:szCs w:val="24"/>
        </w:rPr>
      </w:pPr>
      <w:r>
        <w:rPr>
          <w:rFonts w:ascii="Times New Roman" w:hAnsi="Times New Roman" w:cs="Times New Roman"/>
          <w:color w:val="auto"/>
          <w:sz w:val="24"/>
          <w:szCs w:val="24"/>
        </w:rPr>
        <w:t>9. 报价以人民币报价。</w:t>
      </w:r>
    </w:p>
    <w:p>
      <w:pPr>
        <w:spacing w:line="440" w:lineRule="exact"/>
        <w:ind w:left="360" w:hanging="360" w:hangingChars="150"/>
        <w:rPr>
          <w:rFonts w:ascii="Times New Roman" w:hAnsi="Times New Roman" w:cs="Times New Roman"/>
          <w:bCs/>
          <w:color w:val="auto"/>
          <w:sz w:val="24"/>
          <w:szCs w:val="24"/>
        </w:rPr>
      </w:pPr>
      <w:r>
        <w:rPr>
          <w:rFonts w:ascii="Times New Roman" w:hAnsi="Times New Roman" w:cs="Times New Roman"/>
          <w:bCs/>
          <w:color w:val="auto"/>
          <w:sz w:val="24"/>
          <w:szCs w:val="24"/>
        </w:rPr>
        <w:t>10. 对于本文件中未列明，而供应商认为必需的费用也需列入总报价。在合同实施时，采购人不予支付成交供应商没有列入的项目费用，并认为此项目的费用已包括在总报价中。</w:t>
      </w:r>
    </w:p>
    <w:p>
      <w:pPr>
        <w:spacing w:line="440" w:lineRule="exact"/>
        <w:ind w:left="360" w:hanging="360" w:hangingChars="150"/>
        <w:rPr>
          <w:rFonts w:ascii="Times New Roman" w:hAnsi="Times New Roman" w:cs="Times New Roman"/>
          <w:color w:val="auto"/>
          <w:sz w:val="24"/>
          <w:szCs w:val="24"/>
        </w:rPr>
      </w:pPr>
      <w:r>
        <w:rPr>
          <w:rFonts w:ascii="Times New Roman" w:hAnsi="Times New Roman" w:cs="Times New Roman"/>
          <w:bCs/>
          <w:color w:val="auto"/>
          <w:sz w:val="24"/>
          <w:szCs w:val="24"/>
        </w:rPr>
        <w:t>11. 成交供应商负</w:t>
      </w:r>
      <w:r>
        <w:rPr>
          <w:rFonts w:ascii="Times New Roman" w:hAnsi="Times New Roman" w:cs="Times New Roman"/>
          <w:color w:val="auto"/>
          <w:sz w:val="24"/>
          <w:szCs w:val="24"/>
        </w:rPr>
        <w:t>责本项目所需的售后服务等全部工作，文件另有规定的除外。</w:t>
      </w:r>
    </w:p>
    <w:p>
      <w:pPr>
        <w:spacing w:line="440" w:lineRule="exact"/>
        <w:ind w:left="420" w:hanging="420"/>
        <w:rPr>
          <w:rFonts w:ascii="Times New Roman" w:hAnsi="Times New Roman" w:cs="Times New Roman"/>
          <w:b/>
          <w:bCs/>
          <w:color w:val="auto"/>
          <w:sz w:val="24"/>
          <w:szCs w:val="24"/>
        </w:rPr>
      </w:pPr>
    </w:p>
    <w:p>
      <w:pPr>
        <w:spacing w:line="440" w:lineRule="exact"/>
        <w:ind w:left="420" w:hanging="420"/>
        <w:rPr>
          <w:rFonts w:ascii="Times New Roman" w:hAnsi="Times New Roman" w:eastAsia="黑体" w:cs="Times New Roman"/>
          <w:bCs/>
          <w:color w:val="auto"/>
          <w:sz w:val="24"/>
          <w:szCs w:val="24"/>
        </w:rPr>
      </w:pPr>
      <w:r>
        <w:rPr>
          <w:rFonts w:ascii="Times New Roman" w:hAnsi="Times New Roman" w:eastAsia="黑体" w:cs="Times New Roman"/>
          <w:bCs/>
          <w:color w:val="auto"/>
          <w:sz w:val="24"/>
          <w:szCs w:val="24"/>
        </w:rPr>
        <w:t>五、响应文件的份数、封装和递交</w:t>
      </w:r>
    </w:p>
    <w:p>
      <w:pPr>
        <w:spacing w:line="440" w:lineRule="exact"/>
        <w:ind w:left="420" w:hanging="420"/>
        <w:rPr>
          <w:rFonts w:ascii="Times New Roman" w:hAnsi="Times New Roman" w:cs="Times New Roman"/>
          <w:bCs/>
          <w:color w:val="auto"/>
          <w:sz w:val="24"/>
          <w:szCs w:val="24"/>
        </w:rPr>
      </w:pPr>
      <w:r>
        <w:rPr>
          <w:rFonts w:ascii="Times New Roman" w:hAnsi="Times New Roman" w:cs="Times New Roman"/>
          <w:bCs/>
          <w:color w:val="auto"/>
          <w:sz w:val="24"/>
          <w:szCs w:val="24"/>
        </w:rPr>
        <w:t>12. 响应文件的份数和封装</w:t>
      </w:r>
    </w:p>
    <w:p>
      <w:pPr>
        <w:spacing w:line="440" w:lineRule="exact"/>
        <w:ind w:left="420" w:hanging="420"/>
        <w:rPr>
          <w:rFonts w:ascii="Times New Roman" w:hAnsi="Times New Roman" w:cs="Times New Roman"/>
          <w:bCs/>
          <w:color w:val="auto"/>
          <w:sz w:val="24"/>
          <w:szCs w:val="24"/>
        </w:rPr>
      </w:pPr>
      <w:r>
        <w:rPr>
          <w:rFonts w:ascii="Times New Roman" w:hAnsi="Times New Roman" w:cs="Times New Roman"/>
          <w:bCs/>
          <w:color w:val="auto"/>
          <w:sz w:val="24"/>
          <w:szCs w:val="24"/>
        </w:rPr>
        <w:t>12.1响应文</w:t>
      </w:r>
      <w:r>
        <w:rPr>
          <w:rFonts w:ascii="Times New Roman" w:hAnsi="Times New Roman" w:cs="Times New Roman"/>
          <w:color w:val="auto"/>
          <w:sz w:val="24"/>
          <w:szCs w:val="24"/>
        </w:rPr>
        <w:t>件一式三份，其中正本一份，副本</w:t>
      </w:r>
      <w:r>
        <w:rPr>
          <w:rFonts w:ascii="Times New Roman" w:hAnsi="Times New Roman" w:cs="Times New Roman"/>
          <w:bCs/>
          <w:color w:val="auto"/>
          <w:sz w:val="24"/>
          <w:szCs w:val="24"/>
        </w:rPr>
        <w:t>二份。</w:t>
      </w:r>
    </w:p>
    <w:p>
      <w:pPr>
        <w:spacing w:line="440" w:lineRule="exact"/>
        <w:ind w:left="360" w:hanging="360" w:hangingChars="150"/>
        <w:rPr>
          <w:rFonts w:ascii="Times New Roman" w:hAnsi="Times New Roman" w:cs="Times New Roman"/>
          <w:bCs/>
          <w:color w:val="auto"/>
          <w:sz w:val="24"/>
          <w:szCs w:val="24"/>
        </w:rPr>
      </w:pPr>
      <w:r>
        <w:rPr>
          <w:rFonts w:ascii="Times New Roman" w:hAnsi="Times New Roman" w:cs="Times New Roman"/>
          <w:bCs/>
          <w:color w:val="auto"/>
          <w:sz w:val="24"/>
          <w:szCs w:val="24"/>
        </w:rPr>
        <w:t>12.2响应文件的信封上应写明:项目编号、项目名称、磋商内容、供应商名称。</w:t>
      </w:r>
    </w:p>
    <w:p>
      <w:pPr>
        <w:spacing w:line="440" w:lineRule="exact"/>
        <w:ind w:left="360" w:hanging="360" w:hangingChars="150"/>
        <w:rPr>
          <w:rFonts w:ascii="Times New Roman" w:hAnsi="Times New Roman" w:cs="Times New Roman"/>
          <w:bCs/>
          <w:color w:val="auto"/>
          <w:sz w:val="24"/>
          <w:szCs w:val="24"/>
        </w:rPr>
      </w:pPr>
      <w:r>
        <w:rPr>
          <w:rFonts w:ascii="Times New Roman" w:hAnsi="Times New Roman" w:cs="Times New Roman"/>
          <w:bCs/>
          <w:color w:val="auto"/>
          <w:sz w:val="24"/>
          <w:szCs w:val="24"/>
        </w:rPr>
        <w:t>13. 响应文件的递交</w:t>
      </w:r>
    </w:p>
    <w:p>
      <w:pPr>
        <w:spacing w:line="440" w:lineRule="exact"/>
        <w:ind w:left="360" w:hanging="360" w:hangingChars="150"/>
        <w:rPr>
          <w:rFonts w:ascii="Times New Roman" w:hAnsi="Times New Roman" w:cs="Times New Roman"/>
          <w:bCs/>
          <w:color w:val="auto"/>
          <w:sz w:val="24"/>
          <w:szCs w:val="24"/>
        </w:rPr>
      </w:pPr>
      <w:r>
        <w:rPr>
          <w:rFonts w:ascii="Times New Roman" w:hAnsi="Times New Roman" w:cs="Times New Roman"/>
          <w:bCs/>
          <w:color w:val="auto"/>
          <w:sz w:val="24"/>
          <w:szCs w:val="24"/>
        </w:rPr>
        <w:t>13.1所有响应文件应于第一章“竞争性磋商邀请函”中规定的时间前</w:t>
      </w:r>
      <w:r>
        <w:rPr>
          <w:rFonts w:hint="eastAsia" w:ascii="Times New Roman" w:hAnsi="Times New Roman" w:cs="Times New Roman"/>
          <w:bCs/>
          <w:color w:val="auto"/>
          <w:sz w:val="24"/>
          <w:szCs w:val="24"/>
        </w:rPr>
        <w:t>密封</w:t>
      </w:r>
      <w:r>
        <w:rPr>
          <w:rFonts w:ascii="Times New Roman" w:hAnsi="Times New Roman" w:cs="Times New Roman"/>
          <w:bCs/>
          <w:color w:val="auto"/>
          <w:sz w:val="24"/>
          <w:szCs w:val="24"/>
        </w:rPr>
        <w:t>递交到</w:t>
      </w:r>
      <w:r>
        <w:rPr>
          <w:rFonts w:hint="eastAsia" w:ascii="Times New Roman" w:hAnsi="Times New Roman" w:cs="Times New Roman"/>
          <w:bCs/>
          <w:color w:val="auto"/>
          <w:sz w:val="24"/>
          <w:szCs w:val="24"/>
        </w:rPr>
        <w:t>采购</w:t>
      </w:r>
      <w:r>
        <w:rPr>
          <w:rFonts w:ascii="Times New Roman" w:hAnsi="Times New Roman" w:cs="Times New Roman"/>
          <w:bCs/>
          <w:color w:val="auto"/>
          <w:sz w:val="24"/>
          <w:szCs w:val="24"/>
        </w:rPr>
        <w:t>方。</w:t>
      </w:r>
    </w:p>
    <w:p>
      <w:pPr>
        <w:spacing w:line="440" w:lineRule="exact"/>
        <w:ind w:left="360" w:hanging="360" w:hangingChars="150"/>
        <w:rPr>
          <w:rFonts w:ascii="Times New Roman" w:hAnsi="Times New Roman" w:cs="Times New Roman"/>
          <w:bCs/>
          <w:color w:val="auto"/>
          <w:sz w:val="24"/>
          <w:szCs w:val="24"/>
        </w:rPr>
      </w:pPr>
      <w:r>
        <w:rPr>
          <w:rFonts w:ascii="Times New Roman" w:hAnsi="Times New Roman" w:cs="Times New Roman"/>
          <w:bCs/>
          <w:color w:val="auto"/>
          <w:sz w:val="24"/>
          <w:szCs w:val="24"/>
        </w:rPr>
        <w:t>14. 迟交的响应文件</w:t>
      </w:r>
    </w:p>
    <w:p>
      <w:pPr>
        <w:spacing w:line="440" w:lineRule="exact"/>
        <w:ind w:left="360" w:hanging="360" w:hangingChars="150"/>
        <w:rPr>
          <w:rFonts w:ascii="Times New Roman" w:hAnsi="Times New Roman" w:cs="Times New Roman"/>
          <w:bCs/>
          <w:color w:val="auto"/>
          <w:sz w:val="24"/>
          <w:szCs w:val="24"/>
        </w:rPr>
      </w:pPr>
      <w:r>
        <w:rPr>
          <w:rFonts w:ascii="Times New Roman" w:hAnsi="Times New Roman" w:cs="Times New Roman"/>
          <w:bCs/>
          <w:color w:val="auto"/>
          <w:sz w:val="24"/>
          <w:szCs w:val="24"/>
        </w:rPr>
        <w:t>14.1采购方将拒绝或原封退回在其规定的递交响应文件截止时间之后递交的任何响应文件。</w:t>
      </w:r>
    </w:p>
    <w:p>
      <w:pPr>
        <w:spacing w:line="440" w:lineRule="exact"/>
        <w:rPr>
          <w:rFonts w:ascii="Times New Roman" w:hAnsi="Times New Roman" w:cs="Times New Roman"/>
          <w:bCs/>
          <w:color w:val="auto"/>
          <w:sz w:val="24"/>
          <w:szCs w:val="24"/>
        </w:rPr>
      </w:pPr>
    </w:p>
    <w:p>
      <w:pPr>
        <w:spacing w:line="440" w:lineRule="exact"/>
        <w:rPr>
          <w:rFonts w:ascii="Times New Roman" w:hAnsi="Times New Roman" w:eastAsia="黑体" w:cs="Times New Roman"/>
          <w:bCs/>
          <w:color w:val="auto"/>
          <w:sz w:val="24"/>
          <w:szCs w:val="24"/>
        </w:rPr>
      </w:pPr>
      <w:r>
        <w:rPr>
          <w:rFonts w:ascii="Times New Roman" w:hAnsi="Times New Roman" w:eastAsia="黑体" w:cs="Times New Roman"/>
          <w:bCs/>
          <w:color w:val="auto"/>
          <w:sz w:val="24"/>
          <w:szCs w:val="24"/>
        </w:rPr>
        <w:t>六、磋商小组的组成</w:t>
      </w:r>
    </w:p>
    <w:p>
      <w:pPr>
        <w:spacing w:line="440" w:lineRule="exact"/>
        <w:ind w:left="420" w:hanging="420"/>
        <w:rPr>
          <w:rFonts w:ascii="Times New Roman" w:hAnsi="Times New Roman" w:cs="Times New Roman"/>
          <w:bCs/>
          <w:color w:val="auto"/>
          <w:sz w:val="24"/>
          <w:szCs w:val="24"/>
        </w:rPr>
      </w:pPr>
      <w:r>
        <w:rPr>
          <w:rFonts w:ascii="Times New Roman" w:hAnsi="Times New Roman" w:cs="Times New Roman"/>
          <w:bCs/>
          <w:color w:val="auto"/>
          <w:sz w:val="24"/>
          <w:szCs w:val="24"/>
        </w:rPr>
        <w:t>15.</w:t>
      </w:r>
      <w:r>
        <w:rPr>
          <w:rFonts w:ascii="Times New Roman" w:hAnsi="Times New Roman" w:cs="Times New Roman"/>
          <w:bCs/>
          <w:color w:val="auto"/>
          <w:sz w:val="24"/>
          <w:szCs w:val="24"/>
        </w:rPr>
        <w:t xml:space="preserve"> 磋商小组由采购人组织</w:t>
      </w:r>
      <w:r>
        <w:rPr>
          <w:rFonts w:hint="eastAsia" w:ascii="Times New Roman" w:hAnsi="Times New Roman" w:cs="Times New Roman"/>
          <w:bCs/>
          <w:color w:val="auto"/>
          <w:sz w:val="24"/>
          <w:szCs w:val="24"/>
          <w:lang w:val="en-US" w:eastAsia="zh-CN"/>
        </w:rPr>
        <w:t>5</w:t>
      </w:r>
      <w:r>
        <w:rPr>
          <w:rFonts w:hint="eastAsia" w:ascii="Times New Roman" w:hAnsi="Times New Roman" w:cs="Times New Roman"/>
          <w:bCs/>
          <w:color w:val="auto"/>
          <w:sz w:val="24"/>
          <w:szCs w:val="24"/>
        </w:rPr>
        <w:t>名</w:t>
      </w:r>
      <w:r>
        <w:rPr>
          <w:rFonts w:ascii="Times New Roman" w:hAnsi="Times New Roman" w:cs="Times New Roman"/>
          <w:bCs/>
          <w:color w:val="auto"/>
          <w:sz w:val="24"/>
          <w:szCs w:val="24"/>
        </w:rPr>
        <w:t>成员</w:t>
      </w:r>
      <w:r>
        <w:rPr>
          <w:rFonts w:hint="eastAsia" w:ascii="Times New Roman" w:hAnsi="Times New Roman" w:cs="Times New Roman"/>
          <w:bCs/>
          <w:color w:val="auto"/>
          <w:sz w:val="24"/>
          <w:szCs w:val="24"/>
        </w:rPr>
        <w:t>。</w:t>
      </w:r>
      <w:r>
        <w:rPr>
          <w:rFonts w:ascii="Times New Roman" w:hAnsi="Times New Roman" w:cs="Times New Roman"/>
          <w:bCs/>
          <w:color w:val="auto"/>
          <w:sz w:val="24"/>
          <w:szCs w:val="24"/>
        </w:rPr>
        <w:t>磋商小组负责制定磋商文件、确定磋商供应商名单、响应文件的评审、磋商谈判、商务服务评议并评分、根据综合评分情况编写评审报告，协助处理质疑等工作。</w:t>
      </w:r>
    </w:p>
    <w:p>
      <w:pPr>
        <w:spacing w:line="440" w:lineRule="exact"/>
        <w:ind w:left="360" w:hanging="360" w:hangingChars="150"/>
        <w:rPr>
          <w:rFonts w:ascii="Times New Roman" w:hAnsi="Times New Roman" w:cs="Times New Roman"/>
          <w:bCs/>
          <w:color w:val="auto"/>
          <w:sz w:val="24"/>
          <w:szCs w:val="24"/>
        </w:rPr>
      </w:pPr>
    </w:p>
    <w:p>
      <w:pPr>
        <w:spacing w:line="440" w:lineRule="exact"/>
        <w:rPr>
          <w:rFonts w:ascii="Times New Roman" w:hAnsi="Times New Roman" w:eastAsia="黑体" w:cs="Times New Roman"/>
          <w:bCs/>
          <w:color w:val="auto"/>
          <w:sz w:val="24"/>
          <w:szCs w:val="24"/>
        </w:rPr>
      </w:pPr>
      <w:r>
        <w:rPr>
          <w:rFonts w:ascii="Times New Roman" w:hAnsi="Times New Roman" w:eastAsia="黑体" w:cs="Times New Roman"/>
          <w:bCs/>
          <w:color w:val="auto"/>
          <w:sz w:val="24"/>
          <w:szCs w:val="24"/>
        </w:rPr>
        <w:t>七、磋商的步骤</w:t>
      </w:r>
    </w:p>
    <w:p>
      <w:pPr>
        <w:spacing w:line="440" w:lineRule="exact"/>
        <w:ind w:left="360" w:hanging="360" w:hangingChars="150"/>
        <w:rPr>
          <w:rFonts w:ascii="Times New Roman" w:hAnsi="Times New Roman" w:cs="Times New Roman"/>
          <w:bCs/>
          <w:color w:val="auto"/>
          <w:sz w:val="24"/>
          <w:szCs w:val="24"/>
        </w:rPr>
      </w:pPr>
      <w:r>
        <w:rPr>
          <w:rFonts w:ascii="Times New Roman" w:hAnsi="Times New Roman" w:cs="Times New Roman"/>
          <w:bCs/>
          <w:color w:val="auto"/>
          <w:sz w:val="24"/>
          <w:szCs w:val="24"/>
        </w:rPr>
        <w:t>16. 供应商授权代表及其项目相关的商务技术人员按要求参加本项目磋商过程。</w:t>
      </w:r>
    </w:p>
    <w:p>
      <w:pPr>
        <w:spacing w:line="440" w:lineRule="exact"/>
        <w:ind w:left="360" w:hanging="360" w:hangingChars="150"/>
        <w:rPr>
          <w:rFonts w:ascii="Times New Roman" w:hAnsi="Times New Roman" w:cs="Times New Roman"/>
          <w:bCs/>
          <w:color w:val="auto"/>
          <w:sz w:val="24"/>
          <w:szCs w:val="24"/>
        </w:rPr>
      </w:pPr>
      <w:r>
        <w:rPr>
          <w:rFonts w:ascii="Times New Roman" w:hAnsi="Times New Roman" w:cs="Times New Roman"/>
          <w:bCs/>
          <w:color w:val="auto"/>
          <w:sz w:val="24"/>
          <w:szCs w:val="24"/>
        </w:rPr>
        <w:t>17. 资格性审查</w:t>
      </w:r>
    </w:p>
    <w:p>
      <w:pPr>
        <w:spacing w:line="440" w:lineRule="exact"/>
        <w:ind w:left="360" w:hanging="360" w:hangingChars="150"/>
        <w:rPr>
          <w:rFonts w:ascii="Times New Roman" w:hAnsi="Times New Roman" w:cs="Times New Roman"/>
          <w:bCs/>
          <w:color w:val="auto"/>
          <w:sz w:val="24"/>
          <w:szCs w:val="24"/>
        </w:rPr>
      </w:pPr>
      <w:r>
        <w:rPr>
          <w:rFonts w:ascii="Times New Roman" w:hAnsi="Times New Roman" w:cs="Times New Roman"/>
          <w:bCs/>
          <w:color w:val="auto"/>
          <w:sz w:val="24"/>
          <w:szCs w:val="24"/>
        </w:rPr>
        <w:t>17.1磋商小组验证各供应商代表或委托授权人的身份。供应商代表或委托授权人身份与响应文件不符的、响应文件未按要求加盖印章和签字的，磋商小组</w:t>
      </w:r>
      <w:r>
        <w:rPr>
          <w:rFonts w:hint="eastAsia" w:ascii="Times New Roman" w:hAnsi="Times New Roman" w:cs="Times New Roman"/>
          <w:bCs/>
          <w:color w:val="auto"/>
          <w:sz w:val="24"/>
          <w:szCs w:val="24"/>
        </w:rPr>
        <w:t>将</w:t>
      </w:r>
      <w:r>
        <w:rPr>
          <w:rFonts w:ascii="Times New Roman" w:hAnsi="Times New Roman" w:cs="Times New Roman"/>
          <w:bCs/>
          <w:color w:val="auto"/>
          <w:sz w:val="24"/>
          <w:szCs w:val="24"/>
        </w:rPr>
        <w:t>拒绝该供应商参加磋商。</w:t>
      </w:r>
    </w:p>
    <w:p>
      <w:pPr>
        <w:spacing w:line="440" w:lineRule="exact"/>
        <w:ind w:left="360" w:hanging="360" w:hangingChars="150"/>
        <w:rPr>
          <w:rFonts w:ascii="Times New Roman" w:hAnsi="Times New Roman" w:cs="Times New Roman"/>
          <w:bCs/>
          <w:color w:val="auto"/>
          <w:sz w:val="24"/>
          <w:szCs w:val="24"/>
        </w:rPr>
      </w:pPr>
      <w:r>
        <w:rPr>
          <w:rFonts w:ascii="Times New Roman" w:hAnsi="Times New Roman" w:cs="Times New Roman"/>
          <w:bCs/>
          <w:color w:val="auto"/>
          <w:sz w:val="24"/>
          <w:szCs w:val="24"/>
        </w:rPr>
        <w:t>17.2磋商小组根据磋商文件规定对供应商响应文件的有效性、完整性和响应程度进行审查。审查内容包括供应商资格条件、实质性响应的情况等。未实质性响应磋商文件的响应文件按无效处理，并告知有关供应商。具体评审内容见本章第3条。</w:t>
      </w:r>
    </w:p>
    <w:p>
      <w:pPr>
        <w:spacing w:line="440" w:lineRule="exact"/>
        <w:ind w:left="360" w:hanging="360" w:hangingChars="150"/>
        <w:rPr>
          <w:rFonts w:ascii="Times New Roman" w:hAnsi="Times New Roman" w:cs="Times New Roman"/>
          <w:bCs/>
          <w:color w:val="auto"/>
          <w:sz w:val="24"/>
          <w:szCs w:val="24"/>
        </w:rPr>
      </w:pPr>
      <w:r>
        <w:rPr>
          <w:rFonts w:ascii="Times New Roman" w:hAnsi="Times New Roman" w:cs="Times New Roman"/>
          <w:bCs/>
          <w:color w:val="auto"/>
          <w:sz w:val="24"/>
          <w:szCs w:val="24"/>
        </w:rPr>
        <w:t>18. 第一轮磋商</w:t>
      </w:r>
    </w:p>
    <w:p>
      <w:pPr>
        <w:spacing w:line="440" w:lineRule="exact"/>
        <w:ind w:left="360" w:hanging="360" w:hangingChars="150"/>
        <w:rPr>
          <w:rFonts w:ascii="Times New Roman" w:hAnsi="Times New Roman" w:cs="Times New Roman"/>
          <w:bCs/>
          <w:color w:val="auto"/>
          <w:sz w:val="24"/>
          <w:szCs w:val="24"/>
        </w:rPr>
      </w:pPr>
      <w:r>
        <w:rPr>
          <w:rFonts w:ascii="Times New Roman" w:hAnsi="Times New Roman" w:cs="Times New Roman"/>
          <w:bCs/>
          <w:color w:val="auto"/>
          <w:sz w:val="24"/>
          <w:szCs w:val="24"/>
        </w:rPr>
        <w:t>18.1磋商小组将按照随机抽签的顺序决定供应商的磋商顺序，并与单一供应商分别进行磋商。</w:t>
      </w:r>
    </w:p>
    <w:p>
      <w:pPr>
        <w:spacing w:line="440" w:lineRule="exact"/>
        <w:ind w:left="360" w:hanging="360" w:hangingChars="150"/>
        <w:rPr>
          <w:rFonts w:ascii="Times New Roman" w:hAnsi="Times New Roman" w:cs="Times New Roman"/>
          <w:bCs/>
          <w:color w:val="auto"/>
          <w:sz w:val="24"/>
          <w:szCs w:val="24"/>
        </w:rPr>
      </w:pPr>
      <w:r>
        <w:rPr>
          <w:rFonts w:ascii="Times New Roman" w:hAnsi="Times New Roman" w:cs="Times New Roman"/>
          <w:bCs/>
          <w:color w:val="auto"/>
          <w:sz w:val="24"/>
          <w:szCs w:val="24"/>
        </w:rPr>
        <w:t>18.2磋商小组对照磋商文件与供应商的响应文件分别就采购需求、质量和服务等进行磋商，并了解其报价组成情况。磋商中，磋商的任何一方不得透露与竞争性磋商有关的其他供应商的技术资料、价格和其他信息。</w:t>
      </w:r>
    </w:p>
    <w:p>
      <w:pPr>
        <w:spacing w:line="440" w:lineRule="exact"/>
        <w:ind w:left="360" w:hanging="360" w:hangingChars="150"/>
        <w:rPr>
          <w:rFonts w:ascii="Times New Roman" w:hAnsi="Times New Roman" w:cs="Times New Roman"/>
          <w:bCs/>
          <w:color w:val="auto"/>
          <w:sz w:val="24"/>
          <w:szCs w:val="24"/>
        </w:rPr>
      </w:pPr>
      <w:r>
        <w:rPr>
          <w:rFonts w:ascii="Times New Roman" w:hAnsi="Times New Roman" w:cs="Times New Roman"/>
          <w:bCs/>
          <w:color w:val="auto"/>
          <w:sz w:val="24"/>
          <w:szCs w:val="24"/>
        </w:rPr>
        <w:t>18.3 响应文件的澄清和说明</w:t>
      </w:r>
    </w:p>
    <w:p>
      <w:pPr>
        <w:spacing w:line="440" w:lineRule="exact"/>
        <w:ind w:left="360" w:hanging="360" w:hangingChars="150"/>
        <w:rPr>
          <w:rFonts w:ascii="Times New Roman" w:hAnsi="Times New Roman" w:cs="Times New Roman"/>
          <w:bCs/>
          <w:color w:val="auto"/>
          <w:sz w:val="24"/>
          <w:szCs w:val="24"/>
        </w:rPr>
      </w:pPr>
      <w:r>
        <w:rPr>
          <w:rFonts w:ascii="Times New Roman" w:hAnsi="Times New Roman" w:cs="Times New Roman"/>
          <w:bCs/>
          <w:color w:val="auto"/>
          <w:sz w:val="24"/>
          <w:szCs w:val="24"/>
        </w:rPr>
        <w:t>1）磋商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40" w:lineRule="exact"/>
        <w:ind w:left="360" w:hanging="360" w:hangingChars="150"/>
        <w:rPr>
          <w:rFonts w:ascii="Times New Roman" w:hAnsi="Times New Roman" w:cs="Times New Roman"/>
          <w:bCs/>
          <w:color w:val="auto"/>
          <w:sz w:val="24"/>
          <w:szCs w:val="24"/>
        </w:rPr>
      </w:pPr>
      <w:r>
        <w:rPr>
          <w:rFonts w:ascii="Times New Roman" w:hAnsi="Times New Roman" w:cs="Times New Roman"/>
          <w:bCs/>
          <w:color w:val="auto"/>
          <w:sz w:val="24"/>
          <w:szCs w:val="24"/>
        </w:rPr>
        <w:t>2）磋商小组要求供应商澄清、说明或者更正响应文件应以书面形式作出。供应商的澄清、说明或者更正应当由法定代表人或其授权代表签字或者加盖印章。供应商为自然人的，应当由本人签字并附身份证明。</w:t>
      </w:r>
    </w:p>
    <w:p>
      <w:pPr>
        <w:spacing w:line="440" w:lineRule="exact"/>
        <w:ind w:left="360" w:hanging="360" w:hangingChars="150"/>
        <w:rPr>
          <w:rFonts w:ascii="Times New Roman" w:hAnsi="Times New Roman" w:cs="Times New Roman"/>
          <w:bCs/>
          <w:color w:val="auto"/>
          <w:sz w:val="24"/>
          <w:szCs w:val="24"/>
        </w:rPr>
      </w:pPr>
      <w:r>
        <w:rPr>
          <w:rFonts w:ascii="Times New Roman" w:hAnsi="Times New Roman" w:cs="Times New Roman"/>
          <w:bCs/>
          <w:color w:val="auto"/>
          <w:sz w:val="24"/>
          <w:szCs w:val="24"/>
        </w:rPr>
        <w:t>3）供应商可以对参加竞争性磋商项目的采购需求提出优化建议，并以书面提交磋商小组。</w:t>
      </w:r>
    </w:p>
    <w:p>
      <w:pPr>
        <w:spacing w:line="440" w:lineRule="exact"/>
        <w:ind w:left="360" w:hanging="360" w:hangingChars="150"/>
        <w:rPr>
          <w:rFonts w:ascii="Times New Roman" w:hAnsi="Times New Roman" w:cs="Times New Roman"/>
          <w:bCs/>
          <w:color w:val="auto"/>
          <w:sz w:val="24"/>
          <w:szCs w:val="24"/>
        </w:rPr>
      </w:pPr>
      <w:r>
        <w:rPr>
          <w:rFonts w:ascii="Times New Roman" w:hAnsi="Times New Roman" w:cs="Times New Roman"/>
          <w:bCs/>
          <w:color w:val="auto"/>
          <w:sz w:val="24"/>
          <w:szCs w:val="24"/>
        </w:rPr>
        <w:t>18.4磋商小组按磋商文件设定的方法和标准确定供应商符合磋商文件要求的，该供应商即为合格的供应商。</w:t>
      </w:r>
    </w:p>
    <w:p>
      <w:pPr>
        <w:spacing w:line="440" w:lineRule="exact"/>
        <w:ind w:left="360" w:hanging="360" w:hangingChars="150"/>
        <w:rPr>
          <w:rFonts w:ascii="Times New Roman" w:hAnsi="Times New Roman" w:cs="Times New Roman"/>
          <w:bCs/>
          <w:color w:val="auto"/>
          <w:sz w:val="24"/>
          <w:szCs w:val="24"/>
        </w:rPr>
      </w:pPr>
      <w:r>
        <w:rPr>
          <w:rFonts w:ascii="Times New Roman" w:hAnsi="Times New Roman" w:cs="Times New Roman"/>
          <w:bCs/>
          <w:color w:val="auto"/>
          <w:sz w:val="24"/>
          <w:szCs w:val="24"/>
        </w:rPr>
        <w:t>18.5第一轮磋商后，合格的供应商超过三家的，磋商小组可根据采购项目的特点、采购人的实际需求及与各供应商的磋商情况对磋商文件作出实质性变动，并进行下一轮竞争性磋商，或直接进入最后报价。</w:t>
      </w:r>
    </w:p>
    <w:p>
      <w:pPr>
        <w:spacing w:line="440" w:lineRule="exact"/>
        <w:ind w:left="360" w:hanging="360" w:hangingChars="150"/>
        <w:rPr>
          <w:rFonts w:ascii="Times New Roman" w:hAnsi="Times New Roman" w:cs="Times New Roman"/>
          <w:bCs/>
          <w:color w:val="auto"/>
          <w:sz w:val="24"/>
          <w:szCs w:val="24"/>
        </w:rPr>
      </w:pPr>
      <w:r>
        <w:rPr>
          <w:rFonts w:ascii="Times New Roman" w:hAnsi="Times New Roman" w:cs="Times New Roman"/>
          <w:bCs/>
          <w:color w:val="auto"/>
          <w:sz w:val="24"/>
          <w:szCs w:val="24"/>
        </w:rPr>
        <w:t>18.6合格的供应商不足三家的，磋商小组、采购人在调整采购需求中的技术、服务要求以及合同草案条款后进行下一轮磋商。否则，本次磋商终止。</w:t>
      </w:r>
    </w:p>
    <w:p>
      <w:pPr>
        <w:spacing w:line="440" w:lineRule="exact"/>
        <w:ind w:left="360" w:hanging="360" w:hangingChars="150"/>
        <w:rPr>
          <w:rFonts w:ascii="Times New Roman" w:hAnsi="Times New Roman" w:cs="Times New Roman"/>
          <w:bCs/>
          <w:color w:val="auto"/>
          <w:sz w:val="24"/>
          <w:szCs w:val="24"/>
        </w:rPr>
      </w:pPr>
      <w:r>
        <w:rPr>
          <w:rFonts w:ascii="Times New Roman" w:hAnsi="Times New Roman" w:cs="Times New Roman"/>
          <w:bCs/>
          <w:color w:val="auto"/>
          <w:sz w:val="24"/>
          <w:szCs w:val="24"/>
        </w:rPr>
        <w:t>19.磋商文件修正</w:t>
      </w:r>
    </w:p>
    <w:p>
      <w:pPr>
        <w:spacing w:line="440" w:lineRule="exact"/>
        <w:ind w:left="360" w:hanging="360" w:hangingChars="150"/>
        <w:rPr>
          <w:rFonts w:ascii="Times New Roman" w:hAnsi="Times New Roman" w:cs="Times New Roman"/>
          <w:bCs/>
          <w:color w:val="auto"/>
          <w:sz w:val="24"/>
          <w:szCs w:val="24"/>
        </w:rPr>
      </w:pPr>
      <w:r>
        <w:rPr>
          <w:rFonts w:ascii="Times New Roman" w:hAnsi="Times New Roman" w:cs="Times New Roman"/>
          <w:bCs/>
          <w:color w:val="auto"/>
          <w:sz w:val="24"/>
          <w:szCs w:val="24"/>
        </w:rPr>
        <w:t>19.1磋商小组可根据磋商文件和磋商情况实质性变动采购需求中的技术、服务要求以及合同草案条款，但不得变动磋商文件中的其他内容。对磋商文件作出的实质性变动是磋商文件的有效组成部分。</w:t>
      </w:r>
    </w:p>
    <w:p>
      <w:pPr>
        <w:spacing w:line="440" w:lineRule="exact"/>
        <w:ind w:left="360" w:hanging="360" w:hangingChars="150"/>
        <w:rPr>
          <w:rFonts w:ascii="Times New Roman" w:hAnsi="Times New Roman" w:cs="Times New Roman"/>
          <w:bCs/>
          <w:color w:val="auto"/>
          <w:sz w:val="24"/>
          <w:szCs w:val="24"/>
        </w:rPr>
      </w:pPr>
      <w:r>
        <w:rPr>
          <w:rFonts w:ascii="Times New Roman" w:hAnsi="Times New Roman" w:cs="Times New Roman"/>
          <w:bCs/>
          <w:color w:val="auto"/>
          <w:sz w:val="24"/>
          <w:szCs w:val="24"/>
        </w:rPr>
        <w:t>19.2磋商小组将磋商文件的修改结果以书面形式通知参加磋商的供应商。</w:t>
      </w:r>
    </w:p>
    <w:p>
      <w:pPr>
        <w:spacing w:line="440" w:lineRule="exact"/>
        <w:ind w:left="360" w:hanging="360" w:hangingChars="150"/>
        <w:rPr>
          <w:rFonts w:ascii="Times New Roman" w:hAnsi="Times New Roman" w:cs="Times New Roman"/>
          <w:bCs/>
          <w:color w:val="auto"/>
          <w:sz w:val="24"/>
          <w:szCs w:val="24"/>
        </w:rPr>
      </w:pPr>
      <w:r>
        <w:rPr>
          <w:rFonts w:ascii="Times New Roman" w:hAnsi="Times New Roman" w:cs="Times New Roman"/>
          <w:bCs/>
          <w:color w:val="auto"/>
          <w:sz w:val="24"/>
          <w:szCs w:val="24"/>
        </w:rPr>
        <w:t>19.3供应商根据第一轮磋商情况和磋商文件修改书面通知，对原响应文件进行修正，并将修正文件签字（或盖章）后密封送交磋商小组。逾时不交的，视同放弃磋商。修正文件与响应文件同具法律效应。</w:t>
      </w:r>
    </w:p>
    <w:p>
      <w:pPr>
        <w:spacing w:line="440" w:lineRule="exact"/>
        <w:ind w:left="360" w:hanging="360" w:hangingChars="150"/>
        <w:rPr>
          <w:rFonts w:ascii="Times New Roman" w:hAnsi="Times New Roman" w:cs="Times New Roman"/>
          <w:bCs/>
          <w:color w:val="auto"/>
          <w:sz w:val="24"/>
          <w:szCs w:val="24"/>
        </w:rPr>
      </w:pPr>
      <w:r>
        <w:rPr>
          <w:rFonts w:ascii="Times New Roman" w:hAnsi="Times New Roman" w:cs="Times New Roman"/>
          <w:bCs/>
          <w:color w:val="auto"/>
          <w:sz w:val="24"/>
          <w:szCs w:val="24"/>
        </w:rPr>
        <w:t>19.4对无法详细描述需求，需要供应商提供设计或者解决方案的项目，磋商小组可以根据采购人对需求确认情况，进行多轮磋商，直至采购人代表最终确认</w:t>
      </w:r>
      <w:r>
        <w:rPr>
          <w:rFonts w:hint="eastAsia" w:ascii="Times New Roman" w:hAnsi="Times New Roman" w:cs="Times New Roman"/>
          <w:bCs/>
          <w:color w:val="auto"/>
          <w:sz w:val="24"/>
          <w:szCs w:val="24"/>
        </w:rPr>
        <w:t>采购</w:t>
      </w:r>
      <w:r>
        <w:rPr>
          <w:rFonts w:ascii="Times New Roman" w:hAnsi="Times New Roman" w:cs="Times New Roman"/>
          <w:bCs/>
          <w:color w:val="auto"/>
          <w:sz w:val="24"/>
          <w:szCs w:val="24"/>
        </w:rPr>
        <w:t>需求为止。</w:t>
      </w:r>
    </w:p>
    <w:p>
      <w:pPr>
        <w:spacing w:line="440" w:lineRule="exact"/>
        <w:ind w:left="360" w:hanging="360" w:hangingChars="150"/>
        <w:rPr>
          <w:rFonts w:ascii="Times New Roman" w:hAnsi="Times New Roman" w:cs="Times New Roman"/>
          <w:bCs/>
          <w:color w:val="auto"/>
          <w:sz w:val="24"/>
          <w:szCs w:val="24"/>
        </w:rPr>
      </w:pPr>
      <w:r>
        <w:rPr>
          <w:rFonts w:ascii="Times New Roman" w:hAnsi="Times New Roman" w:cs="Times New Roman"/>
          <w:bCs/>
          <w:color w:val="auto"/>
          <w:sz w:val="24"/>
          <w:szCs w:val="24"/>
        </w:rPr>
        <w:t>20. 第二轮磋商</w:t>
      </w:r>
    </w:p>
    <w:p>
      <w:pPr>
        <w:spacing w:line="440" w:lineRule="exact"/>
        <w:ind w:left="360" w:hanging="360" w:hangingChars="150"/>
        <w:rPr>
          <w:rFonts w:ascii="Times New Roman" w:hAnsi="Times New Roman" w:cs="Times New Roman"/>
          <w:bCs/>
          <w:color w:val="auto"/>
          <w:sz w:val="24"/>
          <w:szCs w:val="24"/>
        </w:rPr>
      </w:pPr>
      <w:r>
        <w:rPr>
          <w:rFonts w:ascii="Times New Roman" w:hAnsi="Times New Roman" w:cs="Times New Roman"/>
          <w:bCs/>
          <w:color w:val="auto"/>
          <w:sz w:val="24"/>
          <w:szCs w:val="24"/>
        </w:rPr>
        <w:t>20.1磋商小组就修正后的磋商文件与供应商分别进行磋商。</w:t>
      </w:r>
    </w:p>
    <w:p>
      <w:pPr>
        <w:spacing w:line="440" w:lineRule="exact"/>
        <w:ind w:left="360" w:hanging="360" w:hangingChars="150"/>
        <w:rPr>
          <w:rFonts w:ascii="Times New Roman" w:hAnsi="Times New Roman" w:cs="Times New Roman"/>
          <w:bCs/>
          <w:color w:val="auto"/>
          <w:sz w:val="24"/>
          <w:szCs w:val="24"/>
        </w:rPr>
      </w:pPr>
      <w:r>
        <w:rPr>
          <w:rFonts w:ascii="Times New Roman" w:hAnsi="Times New Roman" w:cs="Times New Roman"/>
          <w:bCs/>
          <w:color w:val="auto"/>
          <w:sz w:val="24"/>
          <w:szCs w:val="24"/>
        </w:rPr>
        <w:t>20.2第二轮磋商结束后，实质性响应磋商文件及变动后磋商文件要求的供应商超过或不足三家的，按照上一轮磋商程序办理，以此类推。</w:t>
      </w:r>
    </w:p>
    <w:p>
      <w:pPr>
        <w:spacing w:line="440" w:lineRule="exact"/>
        <w:ind w:left="360" w:hanging="360" w:hangingChars="150"/>
        <w:rPr>
          <w:rFonts w:ascii="Times New Roman" w:hAnsi="Times New Roman" w:cs="Times New Roman"/>
          <w:bCs/>
          <w:color w:val="auto"/>
          <w:sz w:val="24"/>
          <w:szCs w:val="24"/>
        </w:rPr>
      </w:pPr>
      <w:r>
        <w:rPr>
          <w:rFonts w:ascii="Times New Roman" w:hAnsi="Times New Roman" w:cs="Times New Roman"/>
          <w:bCs/>
          <w:color w:val="auto"/>
          <w:sz w:val="24"/>
          <w:szCs w:val="24"/>
        </w:rPr>
        <w:t>21. 最后报价</w:t>
      </w:r>
    </w:p>
    <w:p>
      <w:pPr>
        <w:spacing w:line="440" w:lineRule="exact"/>
        <w:ind w:left="360" w:hanging="360" w:hangingChars="150"/>
        <w:rPr>
          <w:rFonts w:ascii="Times New Roman" w:hAnsi="Times New Roman" w:cs="Times New Roman"/>
          <w:bCs/>
          <w:color w:val="auto"/>
          <w:sz w:val="24"/>
          <w:szCs w:val="24"/>
        </w:rPr>
      </w:pPr>
      <w:r>
        <w:rPr>
          <w:rFonts w:ascii="Times New Roman" w:hAnsi="Times New Roman" w:cs="Times New Roman"/>
          <w:bCs/>
          <w:color w:val="auto"/>
          <w:sz w:val="24"/>
          <w:szCs w:val="24"/>
        </w:rPr>
        <w:t>21.1磋商小组对磋商文件中能够详细列明采购标的的技术、服务要求的，在磋商结束后，所有继续参加磋商合格的供应商应在规定时间内提交最后报价。</w:t>
      </w:r>
    </w:p>
    <w:p>
      <w:pPr>
        <w:spacing w:line="440" w:lineRule="exact"/>
        <w:ind w:left="360" w:hanging="360" w:hangingChars="150"/>
        <w:rPr>
          <w:rFonts w:ascii="Times New Roman" w:hAnsi="Times New Roman" w:cs="Times New Roman"/>
          <w:bCs/>
          <w:color w:val="auto"/>
          <w:sz w:val="24"/>
          <w:szCs w:val="24"/>
        </w:rPr>
      </w:pPr>
      <w:r>
        <w:rPr>
          <w:rFonts w:ascii="Times New Roman" w:hAnsi="Times New Roman" w:cs="Times New Roman"/>
          <w:bCs/>
          <w:color w:val="auto"/>
          <w:sz w:val="24"/>
          <w:szCs w:val="24"/>
        </w:rPr>
        <w:t>21.2磋商小组对磋商文件中不能详细描述和列明采购标的的技术、服务要求，需通过磋商由供应商提供最终设计方案或解决方案的，在磋商结束后，磋商小组按照少数服从多数的原则投票推荐3家以上合格供应商的设计方案或者解决方案，并要求其在规定时间内提交最后报价。</w:t>
      </w:r>
    </w:p>
    <w:p>
      <w:pPr>
        <w:spacing w:line="440" w:lineRule="exact"/>
        <w:ind w:left="360" w:hanging="360" w:hangingChars="150"/>
        <w:rPr>
          <w:rFonts w:ascii="Times New Roman" w:hAnsi="Times New Roman" w:cs="Times New Roman"/>
          <w:bCs/>
          <w:color w:val="auto"/>
          <w:sz w:val="24"/>
          <w:szCs w:val="24"/>
        </w:rPr>
      </w:pPr>
      <w:r>
        <w:rPr>
          <w:rFonts w:ascii="Times New Roman" w:hAnsi="Times New Roman" w:cs="Times New Roman"/>
          <w:bCs/>
          <w:color w:val="auto"/>
          <w:sz w:val="24"/>
          <w:szCs w:val="24"/>
        </w:rPr>
        <w:t>21.3供应商的报价均超过了政府采购预算或报价未超过采购预算的供应商不足三家的，磋商活动终止。</w:t>
      </w:r>
    </w:p>
    <w:p>
      <w:pPr>
        <w:spacing w:line="440" w:lineRule="exact"/>
        <w:ind w:left="360" w:hanging="360" w:hangingChars="150"/>
        <w:rPr>
          <w:rFonts w:ascii="Times New Roman" w:hAnsi="Times New Roman" w:cs="Times New Roman"/>
          <w:bCs/>
          <w:color w:val="auto"/>
          <w:sz w:val="24"/>
          <w:szCs w:val="24"/>
        </w:rPr>
      </w:pPr>
      <w:r>
        <w:rPr>
          <w:rFonts w:ascii="Times New Roman" w:hAnsi="Times New Roman" w:cs="Times New Roman"/>
          <w:bCs/>
          <w:color w:val="auto"/>
          <w:sz w:val="24"/>
          <w:szCs w:val="24"/>
        </w:rPr>
        <w:t>21.4最后报价文件应密封，并在规定的同一时间内提交。最后报价是供应商响应文件的有效组成部分。</w:t>
      </w:r>
    </w:p>
    <w:p>
      <w:pPr>
        <w:spacing w:line="440" w:lineRule="exact"/>
        <w:ind w:left="360" w:hanging="360" w:hangingChars="150"/>
        <w:rPr>
          <w:rFonts w:ascii="Times New Roman" w:hAnsi="Times New Roman" w:cs="Times New Roman"/>
          <w:bCs/>
          <w:color w:val="auto"/>
          <w:sz w:val="24"/>
          <w:szCs w:val="24"/>
        </w:rPr>
      </w:pPr>
      <w:r>
        <w:rPr>
          <w:rFonts w:ascii="Times New Roman" w:hAnsi="Times New Roman" w:cs="Times New Roman"/>
          <w:bCs/>
          <w:color w:val="auto"/>
          <w:sz w:val="24"/>
          <w:szCs w:val="24"/>
        </w:rPr>
        <w:t>21.5在提交最后报价之前，供应商可以根据磋商情况退出磋商。</w:t>
      </w:r>
    </w:p>
    <w:p>
      <w:pPr>
        <w:spacing w:line="440" w:lineRule="exact"/>
        <w:ind w:left="360" w:hanging="360" w:hangingChars="150"/>
        <w:rPr>
          <w:rFonts w:ascii="Times New Roman" w:hAnsi="Times New Roman" w:cs="Times New Roman"/>
          <w:bCs/>
          <w:color w:val="auto"/>
          <w:sz w:val="24"/>
          <w:szCs w:val="24"/>
        </w:rPr>
      </w:pPr>
      <w:r>
        <w:rPr>
          <w:rFonts w:hint="eastAsia" w:ascii="Times New Roman" w:hAnsi="Times New Roman" w:cs="Times New Roman"/>
          <w:bCs/>
          <w:color w:val="auto"/>
          <w:sz w:val="24"/>
          <w:szCs w:val="24"/>
        </w:rPr>
        <w:t>21.6供应商的报价应符合法律法规及劳动部门的相关要求。</w:t>
      </w:r>
    </w:p>
    <w:p>
      <w:pPr>
        <w:spacing w:line="440" w:lineRule="exact"/>
        <w:ind w:left="360" w:hanging="360" w:hangingChars="150"/>
        <w:rPr>
          <w:rFonts w:ascii="Times New Roman" w:hAnsi="Times New Roman" w:cs="Times New Roman"/>
          <w:bCs/>
          <w:color w:val="auto"/>
          <w:sz w:val="24"/>
          <w:szCs w:val="24"/>
        </w:rPr>
      </w:pPr>
      <w:r>
        <w:rPr>
          <w:rFonts w:ascii="Times New Roman" w:hAnsi="Times New Roman" w:cs="Times New Roman"/>
          <w:bCs/>
          <w:color w:val="auto"/>
          <w:sz w:val="24"/>
          <w:szCs w:val="24"/>
        </w:rPr>
        <w:t>22. 综合评议</w:t>
      </w:r>
    </w:p>
    <w:p>
      <w:pPr>
        <w:spacing w:line="440" w:lineRule="exact"/>
        <w:ind w:left="360" w:hanging="360" w:hangingChars="150"/>
        <w:rPr>
          <w:rFonts w:ascii="Times New Roman" w:hAnsi="Times New Roman" w:cs="Times New Roman"/>
          <w:bCs/>
          <w:color w:val="auto"/>
          <w:sz w:val="24"/>
          <w:szCs w:val="24"/>
        </w:rPr>
      </w:pPr>
      <w:r>
        <w:rPr>
          <w:rFonts w:ascii="Times New Roman" w:hAnsi="Times New Roman" w:cs="Times New Roman"/>
          <w:bCs/>
          <w:color w:val="auto"/>
          <w:sz w:val="24"/>
          <w:szCs w:val="24"/>
        </w:rPr>
        <w:t>22.1 磋商小组将按照磋商文件确定的评审办法对各供应商的响应文件进行商务服务评议和价格评议。</w:t>
      </w:r>
    </w:p>
    <w:p>
      <w:pPr>
        <w:spacing w:line="440" w:lineRule="exact"/>
        <w:ind w:left="360" w:hanging="360" w:hangingChars="150"/>
        <w:rPr>
          <w:rFonts w:ascii="Times New Roman" w:hAnsi="Times New Roman" w:cs="Times New Roman"/>
          <w:bCs/>
          <w:color w:val="auto"/>
          <w:sz w:val="24"/>
          <w:szCs w:val="24"/>
        </w:rPr>
      </w:pPr>
      <w:r>
        <w:rPr>
          <w:rFonts w:ascii="Times New Roman" w:hAnsi="Times New Roman" w:cs="Times New Roman"/>
          <w:bCs/>
          <w:color w:val="auto"/>
          <w:sz w:val="24"/>
          <w:szCs w:val="24"/>
        </w:rPr>
        <w:t>22.2评审采用综合评分法，具体见“第四章评审办法及评审标准”。</w:t>
      </w:r>
    </w:p>
    <w:p>
      <w:pPr>
        <w:spacing w:line="440" w:lineRule="exact"/>
        <w:ind w:left="360" w:hanging="360" w:hangingChars="150"/>
        <w:rPr>
          <w:rFonts w:ascii="Times New Roman" w:hAnsi="Times New Roman" w:cs="Times New Roman"/>
          <w:bCs/>
          <w:color w:val="auto"/>
          <w:sz w:val="24"/>
          <w:szCs w:val="24"/>
        </w:rPr>
      </w:pPr>
      <w:r>
        <w:rPr>
          <w:rFonts w:ascii="Times New Roman" w:hAnsi="Times New Roman" w:cs="Times New Roman"/>
          <w:bCs/>
          <w:color w:val="auto"/>
          <w:sz w:val="24"/>
          <w:szCs w:val="24"/>
        </w:rPr>
        <w:t>2</w:t>
      </w:r>
      <w:r>
        <w:rPr>
          <w:rFonts w:hint="eastAsia" w:ascii="Times New Roman" w:hAnsi="Times New Roman" w:cs="Times New Roman"/>
          <w:bCs/>
          <w:color w:val="auto"/>
          <w:sz w:val="24"/>
          <w:szCs w:val="24"/>
        </w:rPr>
        <w:t>3.</w:t>
      </w:r>
      <w:r>
        <w:rPr>
          <w:rFonts w:ascii="Times New Roman" w:hAnsi="Times New Roman" w:cs="Times New Roman"/>
          <w:bCs/>
          <w:color w:val="auto"/>
          <w:sz w:val="24"/>
          <w:szCs w:val="24"/>
        </w:rPr>
        <w:t>价格分采用低价优先法计算，即满足磋商文件要求且最后报价最低的供应商的价格为磋商基准价，其价格分为满分。其他供应商的价格分计算公式：磋商报价得分=（磋商基准价/最后磋商报价）×价格权值×100。</w:t>
      </w:r>
    </w:p>
    <w:p>
      <w:pPr>
        <w:spacing w:line="440" w:lineRule="exact"/>
        <w:ind w:left="360" w:hanging="360" w:hangingChars="150"/>
        <w:rPr>
          <w:rFonts w:ascii="Times New Roman" w:hAnsi="Times New Roman" w:cs="Times New Roman"/>
          <w:bCs/>
          <w:color w:val="auto"/>
          <w:sz w:val="24"/>
          <w:szCs w:val="24"/>
        </w:rPr>
      </w:pPr>
      <w:r>
        <w:rPr>
          <w:rFonts w:ascii="Times New Roman" w:hAnsi="Times New Roman" w:cs="Times New Roman"/>
          <w:bCs/>
          <w:color w:val="auto"/>
          <w:sz w:val="24"/>
          <w:szCs w:val="24"/>
        </w:rPr>
        <w:t>2</w:t>
      </w:r>
      <w:r>
        <w:rPr>
          <w:rFonts w:hint="eastAsia" w:ascii="Times New Roman" w:hAnsi="Times New Roman" w:cs="Times New Roman"/>
          <w:bCs/>
          <w:color w:val="auto"/>
          <w:sz w:val="24"/>
          <w:szCs w:val="24"/>
        </w:rPr>
        <w:t>3.1</w:t>
      </w:r>
      <w:r>
        <w:rPr>
          <w:rFonts w:ascii="Times New Roman" w:hAnsi="Times New Roman" w:cs="Times New Roman"/>
          <w:bCs/>
          <w:color w:val="auto"/>
          <w:sz w:val="24"/>
          <w:szCs w:val="24"/>
        </w:rPr>
        <w:t>算术错误将按以下方法更正：若单价计算的结果与总价不一致，以单价为准修改总价；单价金额小数点有明显错位的，以总价为准并修改单价；若大写金额与小写金额不一致，以大写金额为准。如果供应商不接受对其错误的更正，其响应文件将被拒绝。</w:t>
      </w:r>
    </w:p>
    <w:p>
      <w:pPr>
        <w:spacing w:line="440" w:lineRule="exact"/>
        <w:ind w:left="360" w:hanging="360" w:hangingChars="150"/>
        <w:rPr>
          <w:rFonts w:ascii="Times New Roman" w:hAnsi="Times New Roman" w:cs="Times New Roman"/>
          <w:bCs/>
          <w:color w:val="auto"/>
          <w:sz w:val="24"/>
          <w:szCs w:val="24"/>
        </w:rPr>
      </w:pPr>
      <w:r>
        <w:rPr>
          <w:rFonts w:ascii="Times New Roman" w:hAnsi="Times New Roman" w:cs="Times New Roman"/>
          <w:bCs/>
          <w:color w:val="auto"/>
          <w:sz w:val="24"/>
          <w:szCs w:val="24"/>
        </w:rPr>
        <w:t>2</w:t>
      </w:r>
      <w:r>
        <w:rPr>
          <w:rFonts w:hint="eastAsia" w:ascii="Times New Roman" w:hAnsi="Times New Roman" w:cs="Times New Roman"/>
          <w:bCs/>
          <w:color w:val="auto"/>
          <w:sz w:val="24"/>
          <w:szCs w:val="24"/>
        </w:rPr>
        <w:t>4.</w:t>
      </w:r>
      <w:r>
        <w:rPr>
          <w:rFonts w:ascii="Times New Roman" w:hAnsi="Times New Roman" w:cs="Times New Roman"/>
          <w:bCs/>
          <w:color w:val="auto"/>
          <w:sz w:val="24"/>
          <w:szCs w:val="24"/>
        </w:rPr>
        <w:t>磋商小组决定响应文件的响应性只根据响应文件本身的真实无误的内容，而不依据外部的证据，但响应文件有不真实不正确的内容时除外。</w:t>
      </w:r>
    </w:p>
    <w:p>
      <w:pPr>
        <w:spacing w:line="440" w:lineRule="exact"/>
        <w:rPr>
          <w:rFonts w:ascii="Times New Roman" w:hAnsi="Times New Roman" w:eastAsia="黑体" w:cs="Times New Roman"/>
          <w:bCs/>
          <w:color w:val="auto"/>
          <w:sz w:val="24"/>
          <w:szCs w:val="24"/>
        </w:rPr>
      </w:pPr>
    </w:p>
    <w:p>
      <w:pPr>
        <w:spacing w:line="440" w:lineRule="exact"/>
        <w:rPr>
          <w:rFonts w:ascii="Times New Roman" w:hAnsi="Times New Roman" w:eastAsia="黑体" w:cs="Times New Roman"/>
          <w:bCs/>
          <w:color w:val="auto"/>
          <w:sz w:val="24"/>
          <w:szCs w:val="24"/>
        </w:rPr>
      </w:pPr>
      <w:r>
        <w:rPr>
          <w:rFonts w:ascii="Times New Roman" w:hAnsi="Times New Roman" w:eastAsia="黑体" w:cs="Times New Roman"/>
          <w:bCs/>
          <w:color w:val="auto"/>
          <w:sz w:val="24"/>
          <w:szCs w:val="24"/>
        </w:rPr>
        <w:t>八、确定成交供应商</w:t>
      </w:r>
    </w:p>
    <w:p>
      <w:pPr>
        <w:spacing w:line="440" w:lineRule="exact"/>
        <w:ind w:left="360" w:hanging="360" w:hangingChars="150"/>
        <w:rPr>
          <w:rFonts w:ascii="Times New Roman" w:hAnsi="Times New Roman" w:cs="Times New Roman"/>
          <w:bCs/>
          <w:color w:val="auto"/>
          <w:sz w:val="24"/>
          <w:szCs w:val="24"/>
        </w:rPr>
      </w:pPr>
      <w:r>
        <w:rPr>
          <w:rFonts w:ascii="Times New Roman" w:hAnsi="Times New Roman" w:cs="Times New Roman"/>
          <w:bCs/>
          <w:color w:val="auto"/>
          <w:sz w:val="24"/>
          <w:szCs w:val="24"/>
        </w:rPr>
        <w:t>2</w:t>
      </w:r>
      <w:r>
        <w:rPr>
          <w:rFonts w:hint="eastAsia" w:ascii="Times New Roman" w:hAnsi="Times New Roman" w:cs="Times New Roman"/>
          <w:bCs/>
          <w:color w:val="auto"/>
          <w:sz w:val="24"/>
          <w:szCs w:val="24"/>
        </w:rPr>
        <w:t>5</w:t>
      </w:r>
      <w:r>
        <w:rPr>
          <w:rFonts w:ascii="Times New Roman" w:hAnsi="Times New Roman" w:cs="Times New Roman"/>
          <w:bCs/>
          <w:color w:val="auto"/>
          <w:sz w:val="24"/>
          <w:szCs w:val="24"/>
        </w:rPr>
        <w:t>.磋商小组根据综合评分情况，按照评审得分由高到低顺序推荐3名以上成交候选供应商，并编写评审报告。评审得分相同的，按照最</w:t>
      </w:r>
      <w:r>
        <w:rPr>
          <w:rFonts w:hint="eastAsia" w:ascii="Times New Roman" w:hAnsi="Times New Roman" w:cs="Times New Roman"/>
          <w:bCs/>
          <w:color w:val="auto"/>
          <w:sz w:val="24"/>
          <w:szCs w:val="24"/>
        </w:rPr>
        <w:t>终</w:t>
      </w:r>
      <w:r>
        <w:rPr>
          <w:rFonts w:ascii="Times New Roman" w:hAnsi="Times New Roman" w:cs="Times New Roman"/>
          <w:bCs/>
          <w:color w:val="auto"/>
          <w:sz w:val="24"/>
          <w:szCs w:val="24"/>
        </w:rPr>
        <w:t>报价由低到高的顺序推荐。评审得分且最后报价相同的，按照技术指标优劣顺序推荐。</w:t>
      </w:r>
    </w:p>
    <w:p>
      <w:pPr>
        <w:spacing w:line="440" w:lineRule="exact"/>
        <w:ind w:left="360" w:hanging="360" w:hangingChars="150"/>
        <w:rPr>
          <w:rFonts w:ascii="Times New Roman" w:hAnsi="Times New Roman" w:cs="Times New Roman"/>
          <w:bCs/>
          <w:color w:val="auto"/>
          <w:sz w:val="24"/>
          <w:szCs w:val="24"/>
        </w:rPr>
      </w:pPr>
      <w:r>
        <w:rPr>
          <w:rFonts w:ascii="Times New Roman" w:hAnsi="Times New Roman" w:cs="Times New Roman"/>
          <w:bCs/>
          <w:color w:val="auto"/>
          <w:sz w:val="24"/>
          <w:szCs w:val="24"/>
        </w:rPr>
        <w:t>2</w:t>
      </w:r>
      <w:r>
        <w:rPr>
          <w:rFonts w:hint="eastAsia" w:ascii="Times New Roman" w:hAnsi="Times New Roman" w:cs="Times New Roman"/>
          <w:bCs/>
          <w:color w:val="auto"/>
          <w:sz w:val="24"/>
          <w:szCs w:val="24"/>
        </w:rPr>
        <w:t>6</w:t>
      </w:r>
      <w:r>
        <w:rPr>
          <w:rFonts w:ascii="Times New Roman" w:hAnsi="Times New Roman" w:cs="Times New Roman"/>
          <w:bCs/>
          <w:color w:val="auto"/>
          <w:sz w:val="24"/>
          <w:szCs w:val="24"/>
        </w:rPr>
        <w:t>.采购人从评审报告提出的成交候选供应商中，按照排序由高到低的原则确定成交供应商。</w:t>
      </w:r>
    </w:p>
    <w:p>
      <w:pPr>
        <w:spacing w:line="440" w:lineRule="exact"/>
        <w:ind w:left="360" w:hanging="360" w:hangingChars="150"/>
        <w:rPr>
          <w:rFonts w:ascii="Times New Roman" w:hAnsi="Times New Roman" w:cs="Times New Roman"/>
          <w:bCs/>
          <w:color w:val="auto"/>
          <w:sz w:val="24"/>
          <w:szCs w:val="24"/>
        </w:rPr>
      </w:pPr>
    </w:p>
    <w:p>
      <w:pPr>
        <w:spacing w:line="440" w:lineRule="exact"/>
        <w:rPr>
          <w:rFonts w:ascii="Times New Roman" w:hAnsi="Times New Roman" w:eastAsia="黑体" w:cs="Times New Roman"/>
          <w:bCs/>
          <w:color w:val="auto"/>
          <w:sz w:val="24"/>
          <w:szCs w:val="24"/>
        </w:rPr>
      </w:pPr>
      <w:r>
        <w:rPr>
          <w:rFonts w:ascii="Times New Roman" w:hAnsi="Times New Roman" w:eastAsia="黑体" w:cs="Times New Roman"/>
          <w:bCs/>
          <w:color w:val="auto"/>
          <w:sz w:val="24"/>
          <w:szCs w:val="24"/>
        </w:rPr>
        <w:t>九、成交公告和质疑</w:t>
      </w:r>
    </w:p>
    <w:p>
      <w:pPr>
        <w:spacing w:line="440" w:lineRule="exact"/>
        <w:ind w:left="360" w:hanging="360" w:hangingChars="150"/>
        <w:rPr>
          <w:rFonts w:hint="eastAsia" w:ascii="Times New Roman" w:hAnsi="Times New Roman" w:cs="Times New Roman" w:eastAsiaTheme="minorEastAsia"/>
          <w:bCs/>
          <w:color w:val="auto"/>
          <w:sz w:val="24"/>
          <w:szCs w:val="24"/>
          <w:lang w:eastAsia="zh-CN"/>
        </w:rPr>
      </w:pPr>
      <w:r>
        <w:rPr>
          <w:rFonts w:ascii="Times New Roman" w:hAnsi="Times New Roman" w:cs="Times New Roman"/>
          <w:bCs/>
          <w:color w:val="auto"/>
          <w:sz w:val="24"/>
          <w:szCs w:val="24"/>
        </w:rPr>
        <w:t>2</w:t>
      </w:r>
      <w:r>
        <w:rPr>
          <w:rFonts w:hint="eastAsia" w:ascii="Times New Roman" w:hAnsi="Times New Roman" w:cs="Times New Roman"/>
          <w:bCs/>
          <w:color w:val="auto"/>
          <w:sz w:val="24"/>
          <w:szCs w:val="24"/>
        </w:rPr>
        <w:t>7</w:t>
      </w:r>
      <w:r>
        <w:rPr>
          <w:rFonts w:ascii="Times New Roman" w:hAnsi="Times New Roman" w:cs="Times New Roman"/>
          <w:bCs/>
          <w:color w:val="auto"/>
          <w:sz w:val="24"/>
          <w:szCs w:val="24"/>
        </w:rPr>
        <w:t>.采购人在成交供应商确定后，在</w:t>
      </w:r>
      <w:r>
        <w:rPr>
          <w:rFonts w:hint="eastAsia" w:ascii="Times New Roman" w:hAnsi="Times New Roman" w:cs="Times New Roman"/>
          <w:bCs/>
          <w:color w:val="auto"/>
          <w:sz w:val="24"/>
          <w:szCs w:val="24"/>
          <w:lang w:val="en-US" w:eastAsia="zh-CN"/>
        </w:rPr>
        <w:t>鄂旅股份</w:t>
      </w:r>
      <w:r>
        <w:rPr>
          <w:rFonts w:hint="eastAsia" w:ascii="Times New Roman" w:hAnsi="Times New Roman" w:cs="Times New Roman"/>
          <w:bCs/>
          <w:color w:val="auto"/>
          <w:sz w:val="24"/>
          <w:szCs w:val="24"/>
        </w:rPr>
        <w:t>官网</w:t>
      </w:r>
      <w:r>
        <w:rPr>
          <w:rFonts w:ascii="Times New Roman" w:hAnsi="Times New Roman" w:cs="Times New Roman"/>
          <w:bCs/>
          <w:color w:val="auto"/>
          <w:sz w:val="24"/>
          <w:szCs w:val="24"/>
        </w:rPr>
        <w:t>上公告成交结果</w:t>
      </w:r>
      <w:r>
        <w:rPr>
          <w:rFonts w:hint="eastAsia" w:ascii="Times New Roman" w:hAnsi="Times New Roman" w:cs="Times New Roman"/>
          <w:bCs/>
          <w:color w:val="auto"/>
          <w:sz w:val="24"/>
          <w:szCs w:val="24"/>
          <w:lang w:eastAsia="zh-CN"/>
        </w:rPr>
        <w:t>。</w:t>
      </w:r>
    </w:p>
    <w:p>
      <w:pPr>
        <w:spacing w:line="360" w:lineRule="auto"/>
        <w:ind w:left="360" w:hanging="360" w:hangingChars="150"/>
        <w:rPr>
          <w:rFonts w:ascii="Times New Roman" w:hAnsi="Times New Roman" w:cs="Times New Roman"/>
          <w:bCs/>
          <w:color w:val="auto"/>
          <w:sz w:val="24"/>
          <w:szCs w:val="24"/>
        </w:rPr>
      </w:pPr>
      <w:r>
        <w:rPr>
          <w:rFonts w:ascii="Times New Roman" w:hAnsi="Times New Roman" w:cs="Times New Roman"/>
          <w:bCs/>
          <w:color w:val="auto"/>
          <w:sz w:val="24"/>
          <w:szCs w:val="24"/>
        </w:rPr>
        <w:t>2</w:t>
      </w:r>
      <w:r>
        <w:rPr>
          <w:rFonts w:hint="eastAsia" w:ascii="Times New Roman" w:hAnsi="Times New Roman" w:cs="Times New Roman"/>
          <w:bCs/>
          <w:color w:val="auto"/>
          <w:sz w:val="24"/>
          <w:szCs w:val="24"/>
        </w:rPr>
        <w:t>8</w:t>
      </w:r>
      <w:r>
        <w:rPr>
          <w:rFonts w:ascii="Times New Roman" w:hAnsi="Times New Roman" w:cs="Times New Roman"/>
          <w:bCs/>
          <w:color w:val="auto"/>
          <w:sz w:val="24"/>
          <w:szCs w:val="24"/>
        </w:rPr>
        <w:t>.</w:t>
      </w:r>
      <w:r>
        <w:rPr>
          <w:rFonts w:ascii="Times New Roman" w:hAnsi="Times New Roman" w:cs="Times New Roman"/>
          <w:color w:val="auto"/>
        </w:rPr>
        <w:t xml:space="preserve"> </w:t>
      </w:r>
      <w:r>
        <w:rPr>
          <w:rFonts w:ascii="Times New Roman" w:hAnsi="Times New Roman" w:cs="Times New Roman"/>
          <w:bCs/>
          <w:color w:val="auto"/>
          <w:sz w:val="24"/>
          <w:szCs w:val="24"/>
        </w:rPr>
        <w:t>相关供应商对成交结果、磋商过程有询问或质疑的，可在公告期届满之日起七个工作日内，依据政府采购相关规定，向集中采购机构提出询问或质疑，集中采购机构将按政府采购询问或质疑程序处理。质疑书应当包括下列主要内容：</w:t>
      </w:r>
    </w:p>
    <w:p>
      <w:pPr>
        <w:spacing w:line="360" w:lineRule="auto"/>
        <w:rPr>
          <w:rFonts w:ascii="Times New Roman" w:hAnsi="Times New Roman" w:cs="Times New Roman"/>
          <w:color w:val="auto"/>
          <w:sz w:val="24"/>
          <w:szCs w:val="24"/>
        </w:rPr>
      </w:pPr>
      <w:r>
        <w:rPr>
          <w:rFonts w:hint="eastAsia" w:ascii="Times New Roman" w:hAnsi="Times New Roman" w:cs="Times New Roman"/>
          <w:color w:val="auto"/>
          <w:sz w:val="24"/>
          <w:szCs w:val="24"/>
        </w:rPr>
        <w:t>28.1</w:t>
      </w:r>
      <w:r>
        <w:rPr>
          <w:rFonts w:ascii="Times New Roman" w:hAnsi="Times New Roman" w:cs="Times New Roman"/>
          <w:color w:val="auto"/>
          <w:sz w:val="24"/>
          <w:szCs w:val="24"/>
        </w:rPr>
        <w:t>质疑人的名称、地址、电话及联系人（法人或负责人授权代表）等；</w:t>
      </w:r>
    </w:p>
    <w:p>
      <w:pPr>
        <w:spacing w:line="360" w:lineRule="auto"/>
        <w:rPr>
          <w:rFonts w:ascii="Times New Roman" w:hAnsi="Times New Roman" w:cs="Times New Roman"/>
          <w:color w:val="auto"/>
          <w:sz w:val="24"/>
          <w:szCs w:val="24"/>
        </w:rPr>
      </w:pPr>
      <w:r>
        <w:rPr>
          <w:rFonts w:hint="eastAsia" w:ascii="Times New Roman" w:hAnsi="Times New Roman" w:cs="Times New Roman"/>
          <w:color w:val="auto"/>
          <w:sz w:val="24"/>
          <w:szCs w:val="24"/>
        </w:rPr>
        <w:t>28.</w:t>
      </w:r>
      <w:r>
        <w:rPr>
          <w:rFonts w:ascii="Times New Roman" w:hAnsi="Times New Roman" w:cs="Times New Roman"/>
          <w:color w:val="auto"/>
          <w:sz w:val="24"/>
          <w:szCs w:val="24"/>
        </w:rPr>
        <w:t>2质疑人法人（负责人）签章和单位公章；</w:t>
      </w:r>
    </w:p>
    <w:p>
      <w:pPr>
        <w:spacing w:line="360" w:lineRule="auto"/>
        <w:rPr>
          <w:rFonts w:ascii="Times New Roman" w:hAnsi="Times New Roman" w:cs="Times New Roman"/>
          <w:color w:val="auto"/>
          <w:sz w:val="24"/>
          <w:szCs w:val="24"/>
        </w:rPr>
      </w:pPr>
      <w:r>
        <w:rPr>
          <w:rFonts w:hint="eastAsia" w:ascii="Times New Roman" w:hAnsi="Times New Roman" w:cs="Times New Roman"/>
          <w:color w:val="auto"/>
          <w:sz w:val="24"/>
          <w:szCs w:val="24"/>
        </w:rPr>
        <w:t>28.</w:t>
      </w:r>
      <w:r>
        <w:rPr>
          <w:rFonts w:ascii="Times New Roman" w:hAnsi="Times New Roman" w:cs="Times New Roman"/>
          <w:color w:val="auto"/>
          <w:sz w:val="24"/>
          <w:szCs w:val="24"/>
        </w:rPr>
        <w:t>3具体的质疑事项及事实依据；</w:t>
      </w:r>
    </w:p>
    <w:p>
      <w:pPr>
        <w:spacing w:line="360" w:lineRule="auto"/>
        <w:rPr>
          <w:rFonts w:ascii="Times New Roman" w:hAnsi="Times New Roman" w:cs="Times New Roman"/>
          <w:color w:val="auto"/>
          <w:sz w:val="24"/>
          <w:szCs w:val="24"/>
        </w:rPr>
      </w:pPr>
      <w:r>
        <w:rPr>
          <w:rFonts w:hint="eastAsia" w:ascii="Times New Roman" w:hAnsi="Times New Roman" w:cs="Times New Roman"/>
          <w:color w:val="auto"/>
          <w:sz w:val="24"/>
          <w:szCs w:val="24"/>
        </w:rPr>
        <w:t>28.</w:t>
      </w:r>
      <w:r>
        <w:rPr>
          <w:rFonts w:ascii="Times New Roman" w:hAnsi="Times New Roman" w:cs="Times New Roman"/>
          <w:color w:val="auto"/>
          <w:sz w:val="24"/>
          <w:szCs w:val="24"/>
        </w:rPr>
        <w:t>4明确的请求和必要的证明材料；</w:t>
      </w:r>
    </w:p>
    <w:p>
      <w:pPr>
        <w:spacing w:line="360" w:lineRule="auto"/>
        <w:rPr>
          <w:rFonts w:ascii="Times New Roman" w:hAnsi="Times New Roman" w:cs="Times New Roman"/>
          <w:color w:val="auto"/>
          <w:sz w:val="24"/>
          <w:szCs w:val="24"/>
        </w:rPr>
      </w:pPr>
      <w:r>
        <w:rPr>
          <w:rFonts w:hint="eastAsia" w:ascii="Times New Roman" w:hAnsi="Times New Roman" w:cs="Times New Roman"/>
          <w:color w:val="auto"/>
          <w:sz w:val="24"/>
          <w:szCs w:val="24"/>
        </w:rPr>
        <w:t>28.</w:t>
      </w:r>
      <w:r>
        <w:rPr>
          <w:rFonts w:ascii="Times New Roman" w:hAnsi="Times New Roman" w:cs="Times New Roman"/>
          <w:color w:val="auto"/>
          <w:sz w:val="24"/>
          <w:szCs w:val="24"/>
        </w:rPr>
        <w:t>5提起质疑的日期。</w:t>
      </w:r>
    </w:p>
    <w:p>
      <w:pPr>
        <w:spacing w:line="440" w:lineRule="exact"/>
        <w:rPr>
          <w:rFonts w:ascii="Times New Roman" w:hAnsi="Times New Roman" w:eastAsia="黑体" w:cs="Times New Roman"/>
          <w:bCs/>
          <w:color w:val="auto"/>
          <w:sz w:val="24"/>
          <w:szCs w:val="24"/>
        </w:rPr>
      </w:pPr>
    </w:p>
    <w:p>
      <w:pPr>
        <w:spacing w:line="440" w:lineRule="exact"/>
        <w:rPr>
          <w:rFonts w:ascii="Times New Roman" w:hAnsi="Times New Roman" w:eastAsia="黑体" w:cs="Times New Roman"/>
          <w:bCs/>
          <w:color w:val="auto"/>
          <w:sz w:val="24"/>
          <w:szCs w:val="24"/>
        </w:rPr>
      </w:pPr>
      <w:r>
        <w:rPr>
          <w:rFonts w:ascii="Times New Roman" w:hAnsi="Times New Roman" w:eastAsia="黑体" w:cs="Times New Roman"/>
          <w:bCs/>
          <w:color w:val="auto"/>
          <w:sz w:val="24"/>
          <w:szCs w:val="24"/>
        </w:rPr>
        <w:t>十、签订合同</w:t>
      </w:r>
    </w:p>
    <w:p>
      <w:pPr>
        <w:adjustRightInd w:val="0"/>
        <w:snapToGrid w:val="0"/>
        <w:spacing w:line="440" w:lineRule="exact"/>
        <w:ind w:left="360" w:hanging="360" w:hangingChars="150"/>
        <w:rPr>
          <w:rFonts w:ascii="Times New Roman" w:hAnsi="Times New Roman" w:cs="Times New Roman"/>
          <w:bCs/>
          <w:color w:val="auto"/>
          <w:sz w:val="24"/>
          <w:szCs w:val="24"/>
        </w:rPr>
      </w:pPr>
      <w:r>
        <w:rPr>
          <w:rFonts w:hint="eastAsia" w:ascii="Times New Roman" w:hAnsi="Times New Roman" w:cs="Times New Roman"/>
          <w:bCs/>
          <w:color w:val="auto"/>
          <w:sz w:val="24"/>
          <w:szCs w:val="24"/>
        </w:rPr>
        <w:t>29</w:t>
      </w:r>
      <w:r>
        <w:rPr>
          <w:rFonts w:ascii="Times New Roman" w:hAnsi="Times New Roman" w:cs="Times New Roman"/>
          <w:bCs/>
          <w:color w:val="auto"/>
          <w:sz w:val="24"/>
          <w:szCs w:val="24"/>
        </w:rPr>
        <w:t>.成交供应商在收到成交通知书后，三十日内与采购人签订供货（服务）合同。</w:t>
      </w:r>
    </w:p>
    <w:p>
      <w:pPr>
        <w:adjustRightInd w:val="0"/>
        <w:snapToGrid w:val="0"/>
        <w:spacing w:line="440" w:lineRule="exact"/>
        <w:ind w:left="360" w:hanging="360" w:hangingChars="150"/>
        <w:rPr>
          <w:rFonts w:ascii="Times New Roman" w:hAnsi="Times New Roman" w:cs="Times New Roman"/>
          <w:bCs/>
          <w:color w:val="auto"/>
          <w:sz w:val="24"/>
          <w:szCs w:val="24"/>
        </w:rPr>
      </w:pPr>
    </w:p>
    <w:p>
      <w:pPr>
        <w:spacing w:line="440" w:lineRule="exact"/>
        <w:rPr>
          <w:rFonts w:ascii="Times New Roman" w:hAnsi="Times New Roman" w:eastAsia="黑体" w:cs="Times New Roman"/>
          <w:bCs/>
          <w:color w:val="auto"/>
          <w:sz w:val="24"/>
          <w:szCs w:val="24"/>
        </w:rPr>
      </w:pPr>
      <w:r>
        <w:rPr>
          <w:rFonts w:ascii="Times New Roman" w:hAnsi="Times New Roman" w:eastAsia="黑体" w:cs="Times New Roman"/>
          <w:bCs/>
          <w:color w:val="auto"/>
          <w:sz w:val="24"/>
          <w:szCs w:val="24"/>
        </w:rPr>
        <w:t>十一、适用法律</w:t>
      </w:r>
    </w:p>
    <w:p>
      <w:pPr>
        <w:adjustRightInd w:val="0"/>
        <w:snapToGrid w:val="0"/>
        <w:spacing w:line="440" w:lineRule="exact"/>
        <w:ind w:left="360" w:hanging="360" w:hangingChars="150"/>
        <w:rPr>
          <w:rFonts w:ascii="Times New Roman" w:hAnsi="Times New Roman" w:cs="Times New Roman"/>
          <w:color w:val="auto"/>
          <w:sz w:val="24"/>
          <w:szCs w:val="24"/>
        </w:rPr>
      </w:pPr>
      <w:r>
        <w:rPr>
          <w:rFonts w:hint="eastAsia" w:ascii="Times New Roman" w:hAnsi="Times New Roman" w:cs="Times New Roman"/>
          <w:bCs/>
          <w:color w:val="auto"/>
          <w:sz w:val="24"/>
          <w:szCs w:val="24"/>
        </w:rPr>
        <w:t>31</w:t>
      </w:r>
      <w:r>
        <w:rPr>
          <w:rFonts w:ascii="Times New Roman" w:hAnsi="Times New Roman" w:cs="Times New Roman"/>
          <w:bCs/>
          <w:color w:val="auto"/>
          <w:sz w:val="24"/>
          <w:szCs w:val="24"/>
        </w:rPr>
        <w:t>.采购当事人的一切活动均适用于《中华人民共和国政府采购法》、《中华人民共和国政府采购法实施条例》、《政府采购非招标采购方式管理办法》</w:t>
      </w:r>
      <w:r>
        <w:rPr>
          <w:rFonts w:hint="eastAsia" w:ascii="Times New Roman" w:hAnsi="Times New Roman" w:cs="Times New Roman"/>
          <w:bCs/>
          <w:color w:val="auto"/>
          <w:sz w:val="24"/>
          <w:szCs w:val="24"/>
        </w:rPr>
        <w:t>、《政府采购竞争性磋商采购方式管理暂行办法》</w:t>
      </w:r>
      <w:r>
        <w:rPr>
          <w:rFonts w:ascii="Times New Roman" w:hAnsi="Times New Roman" w:cs="Times New Roman"/>
          <w:bCs/>
          <w:color w:val="auto"/>
          <w:sz w:val="24"/>
          <w:szCs w:val="24"/>
        </w:rPr>
        <w:t>及相关法规。</w:t>
      </w:r>
    </w:p>
    <w:p>
      <w:pPr>
        <w:spacing w:line="500" w:lineRule="exact"/>
        <w:jc w:val="center"/>
        <w:rPr>
          <w:rFonts w:ascii="Times New Roman" w:hAnsi="Times New Roman" w:cs="Times New Roman"/>
          <w:b/>
          <w:color w:val="auto"/>
          <w:sz w:val="24"/>
          <w:szCs w:val="24"/>
          <w:lang w:bidi="ar-EG"/>
        </w:rPr>
        <w:sectPr>
          <w:headerReference r:id="rId3" w:type="default"/>
          <w:pgSz w:w="11906" w:h="16838"/>
          <w:pgMar w:top="1440" w:right="1800" w:bottom="1440" w:left="1800" w:header="851" w:footer="992" w:gutter="0"/>
          <w:cols w:space="425" w:num="1"/>
          <w:docGrid w:type="lines" w:linePitch="312" w:charSpace="0"/>
        </w:sectPr>
      </w:pPr>
    </w:p>
    <w:p>
      <w:pPr>
        <w:spacing w:line="500" w:lineRule="exact"/>
        <w:jc w:val="center"/>
        <w:rPr>
          <w:rFonts w:ascii="Times New Roman" w:hAnsi="Times New Roman" w:cs="Times New Roman"/>
          <w:b/>
          <w:color w:val="auto"/>
          <w:sz w:val="36"/>
          <w:szCs w:val="36"/>
          <w:lang w:val="hr-HR" w:bidi="ar-EG"/>
        </w:rPr>
      </w:pPr>
      <w:r>
        <w:rPr>
          <w:rFonts w:ascii="Times New Roman" w:hAnsi="Times New Roman" w:cs="Times New Roman"/>
          <w:b/>
          <w:color w:val="auto"/>
          <w:sz w:val="36"/>
          <w:szCs w:val="36"/>
          <w:lang w:val="hr-HR" w:bidi="ar-EG"/>
        </w:rPr>
        <w:t>第三章  采购</w:t>
      </w:r>
      <w:r>
        <w:rPr>
          <w:rFonts w:ascii="Times New Roman" w:hAnsi="Times New Roman" w:cs="Times New Roman"/>
          <w:b/>
          <w:color w:val="auto"/>
          <w:sz w:val="36"/>
          <w:szCs w:val="36"/>
        </w:rPr>
        <w:t>货物</w:t>
      </w:r>
      <w:r>
        <w:rPr>
          <w:rFonts w:hint="eastAsia" w:ascii="Times New Roman" w:hAnsi="Times New Roman" w:cs="Times New Roman"/>
          <w:b/>
          <w:color w:val="auto"/>
          <w:sz w:val="36"/>
          <w:szCs w:val="36"/>
        </w:rPr>
        <w:t>（服务）</w:t>
      </w:r>
      <w:r>
        <w:rPr>
          <w:rFonts w:ascii="Times New Roman" w:hAnsi="Times New Roman" w:cs="Times New Roman"/>
          <w:b/>
          <w:color w:val="auto"/>
          <w:sz w:val="36"/>
          <w:szCs w:val="36"/>
        </w:rPr>
        <w:t>技术参数、规格及要求</w:t>
      </w:r>
    </w:p>
    <w:p>
      <w:pPr>
        <w:adjustRightInd w:val="0"/>
        <w:snapToGrid w:val="0"/>
        <w:spacing w:line="440" w:lineRule="exact"/>
        <w:jc w:val="center"/>
        <w:outlineLvl w:val="9"/>
        <w:rPr>
          <w:rFonts w:ascii="Times New Roman" w:hAnsi="Times New Roman" w:cs="Times New Roman"/>
          <w:b/>
          <w:color w:val="auto"/>
          <w:sz w:val="24"/>
          <w:szCs w:val="24"/>
        </w:rPr>
      </w:pPr>
    </w:p>
    <w:p>
      <w:pPr>
        <w:spacing w:line="520" w:lineRule="exact"/>
        <w:ind w:firstLine="480"/>
        <w:jc w:val="center"/>
        <w:rPr>
          <w:rFonts w:ascii="宋体" w:hAnsi="宋体"/>
          <w:b/>
          <w:color w:val="auto"/>
          <w:sz w:val="28"/>
          <w:szCs w:val="28"/>
        </w:rPr>
      </w:pPr>
      <w:bookmarkStart w:id="0" w:name="_Toc432098351"/>
      <w:r>
        <w:rPr>
          <w:rFonts w:ascii="宋体" w:hAnsi="宋体"/>
          <w:b/>
          <w:color w:val="auto"/>
          <w:sz w:val="28"/>
          <w:szCs w:val="28"/>
        </w:rPr>
        <w:t>采购项目规格、参数及要求</w:t>
      </w:r>
    </w:p>
    <w:p>
      <w:pPr>
        <w:pStyle w:val="3"/>
        <w:keepNext w:val="0"/>
        <w:keepLines w:val="0"/>
        <w:pageBreakBefore w:val="0"/>
        <w:kinsoku/>
        <w:wordWrap/>
        <w:overflowPunct/>
        <w:topLinePunct w:val="0"/>
        <w:autoSpaceDE/>
        <w:autoSpaceDN/>
        <w:bidi w:val="0"/>
        <w:spacing w:before="0" w:after="0" w:line="560" w:lineRule="exact"/>
        <w:textAlignment w:val="auto"/>
        <w:rPr>
          <w:rFonts w:hint="eastAsia" w:asciiTheme="minorEastAsia" w:hAnsiTheme="minorEastAsia" w:eastAsiaTheme="minorEastAsia" w:cstheme="minorEastAsia"/>
          <w:color w:val="auto"/>
          <w:sz w:val="24"/>
          <w:szCs w:val="24"/>
        </w:rPr>
      </w:pPr>
      <w:bookmarkStart w:id="1" w:name="_Toc513200260"/>
      <w:r>
        <w:rPr>
          <w:rFonts w:hint="eastAsia" w:asciiTheme="minorEastAsia" w:hAnsiTheme="minorEastAsia" w:eastAsiaTheme="minorEastAsia" w:cstheme="minorEastAsia"/>
          <w:color w:val="auto"/>
          <w:sz w:val="24"/>
          <w:szCs w:val="24"/>
        </w:rPr>
        <w:t>一、项目概况</w:t>
      </w:r>
      <w:bookmarkEnd w:id="1"/>
    </w:p>
    <w:p>
      <w:pPr>
        <w:pStyle w:val="3"/>
        <w:keepNext w:val="0"/>
        <w:keepLines w:val="0"/>
        <w:pageBreakBefore w:val="0"/>
        <w:kinsoku/>
        <w:wordWrap/>
        <w:overflowPunct/>
        <w:topLinePunct w:val="0"/>
        <w:autoSpaceDE/>
        <w:autoSpaceDN/>
        <w:bidi w:val="0"/>
        <w:spacing w:before="0" w:after="0" w:line="560" w:lineRule="exact"/>
        <w:ind w:firstLine="480" w:firstLineChars="200"/>
        <w:textAlignment w:val="auto"/>
        <w:rPr>
          <w:rFonts w:hint="eastAsia" w:asciiTheme="minorEastAsia" w:hAnsiTheme="minorEastAsia" w:eastAsiaTheme="minorEastAsia" w:cstheme="minorEastAsia"/>
          <w:b w:val="0"/>
          <w:color w:val="auto"/>
          <w:kern w:val="2"/>
          <w:sz w:val="24"/>
          <w:szCs w:val="24"/>
        </w:rPr>
      </w:pPr>
      <w:bookmarkStart w:id="2" w:name="_Toc513200261"/>
      <w:r>
        <w:rPr>
          <w:rFonts w:hint="eastAsia" w:asciiTheme="minorEastAsia" w:hAnsiTheme="minorEastAsia" w:eastAsiaTheme="minorEastAsia" w:cstheme="minorEastAsia"/>
          <w:b w:val="0"/>
          <w:color w:val="auto"/>
          <w:kern w:val="2"/>
          <w:sz w:val="24"/>
          <w:szCs w:val="24"/>
        </w:rPr>
        <w:t>该项目位于湖北恩施市恩施大峡谷风景</w:t>
      </w:r>
      <w:r>
        <w:rPr>
          <w:rFonts w:hint="eastAsia" w:asciiTheme="minorEastAsia" w:hAnsiTheme="minorEastAsia" w:eastAsiaTheme="minorEastAsia" w:cstheme="minorEastAsia"/>
          <w:b w:val="0"/>
          <w:color w:val="auto"/>
          <w:kern w:val="2"/>
          <w:sz w:val="24"/>
          <w:szCs w:val="24"/>
          <w:lang w:val="en-US" w:eastAsia="zh-CN"/>
        </w:rPr>
        <w:t>管理中心</w:t>
      </w:r>
      <w:r>
        <w:rPr>
          <w:rFonts w:hint="eastAsia" w:asciiTheme="minorEastAsia" w:hAnsiTheme="minorEastAsia" w:eastAsiaTheme="minorEastAsia" w:cstheme="minorEastAsia"/>
          <w:b w:val="0"/>
          <w:color w:val="auto"/>
          <w:kern w:val="2"/>
          <w:sz w:val="24"/>
          <w:szCs w:val="24"/>
        </w:rPr>
        <w:t>（原沐抚办事处）大峡谷景区内。主要是对景区内的绿化植物进行修剪、施肥、病虫害防治、浇水、松土、补苗、除杂草等日常养护工作。</w:t>
      </w:r>
    </w:p>
    <w:p>
      <w:pPr>
        <w:pStyle w:val="3"/>
        <w:keepNext w:val="0"/>
        <w:keepLines w:val="0"/>
        <w:pageBreakBefore w:val="0"/>
        <w:kinsoku/>
        <w:wordWrap/>
        <w:overflowPunct/>
        <w:topLinePunct w:val="0"/>
        <w:autoSpaceDE/>
        <w:autoSpaceDN/>
        <w:bidi w:val="0"/>
        <w:spacing w:before="0" w:after="0" w:line="56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二、绿化养护管理服务范围</w:t>
      </w:r>
      <w:bookmarkEnd w:id="2"/>
    </w:p>
    <w:p>
      <w:pPr>
        <w:keepNext w:val="0"/>
        <w:keepLines w:val="0"/>
        <w:pageBreakBefore w:val="0"/>
        <w:kinsoku/>
        <w:wordWrap/>
        <w:overflowPunct/>
        <w:topLinePunct w:val="0"/>
        <w:autoSpaceDE/>
        <w:autoSpaceDN/>
        <w:bidi w:val="0"/>
        <w:spacing w:line="560" w:lineRule="exact"/>
        <w:ind w:firstLine="480"/>
        <w:textAlignment w:val="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1.养护范围：</w:t>
      </w:r>
      <w:r>
        <w:rPr>
          <w:rFonts w:hint="eastAsia" w:asciiTheme="minorEastAsia" w:hAnsiTheme="minorEastAsia" w:eastAsiaTheme="minorEastAsia" w:cstheme="minorEastAsia"/>
          <w:bCs/>
          <w:color w:val="auto"/>
          <w:sz w:val="24"/>
          <w:szCs w:val="24"/>
          <w:u w:val="single"/>
        </w:rPr>
        <w:t>恩施大峡谷地面缆车202</w:t>
      </w:r>
      <w:r>
        <w:rPr>
          <w:rFonts w:hint="eastAsia" w:asciiTheme="minorEastAsia" w:hAnsiTheme="minorEastAsia" w:eastAsiaTheme="minorEastAsia" w:cstheme="minorEastAsia"/>
          <w:bCs/>
          <w:color w:val="auto"/>
          <w:sz w:val="24"/>
          <w:szCs w:val="24"/>
          <w:u w:val="single"/>
          <w:lang w:val="en-US" w:eastAsia="zh-CN"/>
        </w:rPr>
        <w:t>4</w:t>
      </w:r>
      <w:r>
        <w:rPr>
          <w:rFonts w:hint="eastAsia" w:asciiTheme="minorEastAsia" w:hAnsiTheme="minorEastAsia" w:eastAsiaTheme="minorEastAsia" w:cstheme="minorEastAsia"/>
          <w:bCs/>
          <w:color w:val="auto"/>
          <w:sz w:val="24"/>
          <w:szCs w:val="24"/>
          <w:u w:val="single"/>
        </w:rPr>
        <w:t>年度绿化养护</w:t>
      </w:r>
      <w:r>
        <w:rPr>
          <w:rFonts w:hint="eastAsia" w:asciiTheme="minorEastAsia" w:hAnsiTheme="minorEastAsia" w:eastAsiaTheme="minorEastAsia" w:cstheme="minorEastAsia"/>
          <w:bCs/>
          <w:color w:val="auto"/>
          <w:sz w:val="24"/>
          <w:szCs w:val="24"/>
          <w:u w:val="single"/>
          <w:lang w:val="en-US" w:eastAsia="zh-CN"/>
        </w:rPr>
        <w:t>服务</w:t>
      </w:r>
      <w:r>
        <w:rPr>
          <w:rFonts w:hint="eastAsia" w:asciiTheme="minorEastAsia" w:hAnsiTheme="minorEastAsia" w:eastAsiaTheme="minorEastAsia" w:cstheme="minorEastAsia"/>
          <w:color w:val="auto"/>
          <w:sz w:val="24"/>
          <w:szCs w:val="24"/>
          <w:u w:val="single"/>
        </w:rPr>
        <w:t>工程量清单包含内容。</w:t>
      </w:r>
    </w:p>
    <w:p>
      <w:pPr>
        <w:keepNext w:val="0"/>
        <w:keepLines w:val="0"/>
        <w:pageBreakBefore w:val="0"/>
        <w:kinsoku/>
        <w:wordWrap/>
        <w:overflowPunct/>
        <w:topLinePunct w:val="0"/>
        <w:autoSpaceDE/>
        <w:autoSpaceDN/>
        <w:bidi w:val="0"/>
        <w:spacing w:line="56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（1.养护范围：</w:t>
      </w:r>
      <w:r>
        <w:rPr>
          <w:rFonts w:hint="eastAsia" w:asciiTheme="minorEastAsia" w:hAnsiTheme="minorEastAsia" w:eastAsiaTheme="minorEastAsia" w:cstheme="minorEastAsia"/>
          <w:bCs/>
          <w:color w:val="auto"/>
          <w:sz w:val="24"/>
          <w:szCs w:val="24"/>
          <w:u w:val="single"/>
        </w:rPr>
        <w:t>恩施大峡谷地面缆车202</w:t>
      </w:r>
      <w:r>
        <w:rPr>
          <w:rFonts w:hint="eastAsia" w:asciiTheme="minorEastAsia" w:hAnsiTheme="minorEastAsia" w:eastAsiaTheme="minorEastAsia" w:cstheme="minorEastAsia"/>
          <w:bCs/>
          <w:color w:val="auto"/>
          <w:sz w:val="24"/>
          <w:szCs w:val="24"/>
          <w:u w:val="single"/>
          <w:lang w:val="en-US" w:eastAsia="zh-CN"/>
        </w:rPr>
        <w:t>4</w:t>
      </w:r>
      <w:r>
        <w:rPr>
          <w:rFonts w:hint="eastAsia" w:asciiTheme="minorEastAsia" w:hAnsiTheme="minorEastAsia" w:eastAsiaTheme="minorEastAsia" w:cstheme="minorEastAsia"/>
          <w:bCs/>
          <w:color w:val="auto"/>
          <w:sz w:val="24"/>
          <w:szCs w:val="24"/>
          <w:u w:val="single"/>
        </w:rPr>
        <w:t>年度绿化养护</w:t>
      </w:r>
      <w:r>
        <w:rPr>
          <w:rFonts w:hint="eastAsia" w:asciiTheme="minorEastAsia" w:hAnsiTheme="minorEastAsia" w:eastAsiaTheme="minorEastAsia" w:cstheme="minorEastAsia"/>
          <w:bCs/>
          <w:color w:val="auto"/>
          <w:sz w:val="24"/>
          <w:szCs w:val="24"/>
          <w:u w:val="single"/>
          <w:lang w:val="en-US" w:eastAsia="zh-CN"/>
        </w:rPr>
        <w:t>服务</w:t>
      </w:r>
      <w:r>
        <w:rPr>
          <w:rFonts w:hint="eastAsia" w:asciiTheme="minorEastAsia" w:hAnsiTheme="minorEastAsia" w:eastAsiaTheme="minorEastAsia" w:cstheme="minorEastAsia"/>
          <w:color w:val="auto"/>
          <w:sz w:val="24"/>
          <w:szCs w:val="24"/>
          <w:u w:val="single"/>
        </w:rPr>
        <w:t>工程量清单包含内容。</w:t>
      </w:r>
      <w:r>
        <w:rPr>
          <w:rFonts w:hint="eastAsia" w:asciiTheme="minorEastAsia" w:hAnsiTheme="minorEastAsia" w:eastAsiaTheme="minorEastAsia" w:cstheme="minorEastAsia"/>
          <w:color w:val="auto"/>
          <w:sz w:val="24"/>
          <w:szCs w:val="24"/>
        </w:rPr>
        <w:t>（新游客中心周边、地面缆车上下站房周边、地面缆车轨道沿线、索道广场周边部分绿化，绿化养护总面积44500平方米。）</w:t>
      </w:r>
    </w:p>
    <w:p>
      <w:pPr>
        <w:pStyle w:val="3"/>
        <w:keepNext w:val="0"/>
        <w:keepLines w:val="0"/>
        <w:pageBreakBefore w:val="0"/>
        <w:kinsoku/>
        <w:wordWrap/>
        <w:overflowPunct/>
        <w:topLinePunct w:val="0"/>
        <w:autoSpaceDE/>
        <w:autoSpaceDN/>
        <w:bidi w:val="0"/>
        <w:spacing w:before="0" w:after="0" w:line="560" w:lineRule="exact"/>
        <w:textAlignment w:val="auto"/>
        <w:rPr>
          <w:rFonts w:hint="eastAsia" w:asciiTheme="minorEastAsia" w:hAnsiTheme="minorEastAsia" w:eastAsiaTheme="minorEastAsia" w:cstheme="minorEastAsia"/>
          <w:color w:val="auto"/>
          <w:sz w:val="24"/>
          <w:szCs w:val="24"/>
        </w:rPr>
      </w:pPr>
      <w:bookmarkStart w:id="3" w:name="_Toc513200262"/>
      <w:r>
        <w:rPr>
          <w:rFonts w:hint="eastAsia" w:asciiTheme="minorEastAsia" w:hAnsiTheme="minorEastAsia" w:eastAsiaTheme="minorEastAsia" w:cstheme="minorEastAsia"/>
          <w:color w:val="auto"/>
          <w:sz w:val="24"/>
          <w:szCs w:val="24"/>
        </w:rPr>
        <w:t>三、养护质量指标要求</w:t>
      </w:r>
      <w:bookmarkEnd w:id="3"/>
    </w:p>
    <w:p>
      <w:pPr>
        <w:keepNext w:val="0"/>
        <w:keepLines w:val="0"/>
        <w:pageBreakBefore w:val="0"/>
        <w:kinsoku/>
        <w:wordWrap/>
        <w:overflowPunct/>
        <w:topLinePunct w:val="0"/>
        <w:autoSpaceDE/>
        <w:autoSpaceDN/>
        <w:bidi w:val="0"/>
        <w:spacing w:line="560" w:lineRule="exact"/>
        <w:ind w:firstLine="48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要求达到</w:t>
      </w:r>
      <w:r>
        <w:rPr>
          <w:rFonts w:hint="eastAsia" w:asciiTheme="minorEastAsia" w:hAnsiTheme="minorEastAsia" w:eastAsiaTheme="minorEastAsia" w:cstheme="minorEastAsia"/>
          <w:color w:val="auto"/>
          <w:sz w:val="24"/>
          <w:szCs w:val="24"/>
          <w:lang w:val="en-US" w:eastAsia="zh-CN"/>
        </w:rPr>
        <w:t>以下标准</w:t>
      </w:r>
      <w:r>
        <w:rPr>
          <w:rFonts w:hint="eastAsia" w:asciiTheme="minorEastAsia" w:hAnsiTheme="minorEastAsia" w:eastAsiaTheme="minorEastAsia" w:cstheme="minorEastAsia"/>
          <w:color w:val="auto"/>
          <w:sz w:val="24"/>
          <w:szCs w:val="24"/>
        </w:rPr>
        <w:t>，达到对现有景观效果的维持并力争有所改善的目的，供应商包工、包料、包工具、包设备、包绿化垃圾清运。</w:t>
      </w:r>
    </w:p>
    <w:bookmarkEnd w:id="0"/>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420"/>
        <w:textAlignment w:val="auto"/>
        <w:rPr>
          <w:rFonts w:hint="eastAsia" w:asciiTheme="minorEastAsia" w:hAnsiTheme="minorEastAsia" w:eastAsiaTheme="minorEastAsia" w:cstheme="minorEastAsia"/>
          <w:b/>
          <w:bCs/>
          <w:i w:val="0"/>
          <w:iCs w:val="0"/>
          <w:caps w:val="0"/>
          <w:color w:val="auto"/>
          <w:spacing w:val="0"/>
          <w:sz w:val="24"/>
          <w:szCs w:val="24"/>
          <w:shd w:val="clear" w:fill="FFFFFF"/>
          <w:lang w:eastAsia="zh-CN"/>
        </w:rPr>
      </w:pPr>
      <w:r>
        <w:rPr>
          <w:rFonts w:hint="eastAsia" w:asciiTheme="minorEastAsia" w:hAnsiTheme="minorEastAsia" w:eastAsiaTheme="minorEastAsia" w:cstheme="minorEastAsia"/>
          <w:b/>
          <w:bCs/>
          <w:i w:val="0"/>
          <w:iCs w:val="0"/>
          <w:caps w:val="0"/>
          <w:color w:val="auto"/>
          <w:spacing w:val="0"/>
          <w:sz w:val="24"/>
          <w:szCs w:val="24"/>
          <w:shd w:val="clear" w:fill="FFFFFF"/>
        </w:rPr>
        <w:t>养护质量标准</w:t>
      </w:r>
      <w:r>
        <w:rPr>
          <w:rFonts w:hint="eastAsia" w:asciiTheme="minorEastAsia" w:hAnsiTheme="minorEastAsia" w:eastAsiaTheme="minorEastAsia" w:cstheme="minorEastAsia"/>
          <w:b/>
          <w:bCs/>
          <w:i w:val="0"/>
          <w:iCs w:val="0"/>
          <w:caps w:val="0"/>
          <w:color w:val="auto"/>
          <w:spacing w:val="0"/>
          <w:sz w:val="24"/>
          <w:szCs w:val="24"/>
          <w:shd w:val="clear" w:fill="FFFFFF"/>
          <w:lang w:eastAsia="zh-CN"/>
        </w:rPr>
        <w:t>：</w:t>
      </w:r>
    </w:p>
    <w:p>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420"/>
        <w:textAlignment w:val="auto"/>
        <w:rPr>
          <w:rFonts w:hint="eastAsia" w:asciiTheme="minorEastAsia" w:hAnsiTheme="minorEastAsia" w:eastAsiaTheme="minorEastAsia" w:cstheme="minorEastAsia"/>
          <w:b/>
          <w:bCs w:val="0"/>
          <w:color w:val="auto"/>
          <w:sz w:val="24"/>
          <w:szCs w:val="24"/>
        </w:rPr>
      </w:pPr>
      <w:r>
        <w:rPr>
          <w:rFonts w:hint="eastAsia" w:asciiTheme="minorEastAsia" w:hAnsiTheme="minorEastAsia" w:eastAsiaTheme="minorEastAsia" w:cstheme="minorEastAsia"/>
          <w:b/>
          <w:bCs w:val="0"/>
          <w:color w:val="auto"/>
          <w:sz w:val="24"/>
          <w:szCs w:val="24"/>
        </w:rPr>
        <w:t>常绿乔木、落叶乔木</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420" w:leftChars="200" w:right="0" w:rightChars="0"/>
        <w:textAlignment w:val="auto"/>
        <w:rPr>
          <w:rFonts w:hint="eastAsia" w:asciiTheme="minorEastAsia" w:hAnsiTheme="minorEastAsia" w:eastAsiaTheme="minorEastAsia" w:cstheme="minorEastAsia"/>
          <w:b/>
          <w:bCs w:val="0"/>
          <w:color w:val="auto"/>
          <w:sz w:val="24"/>
          <w:szCs w:val="24"/>
          <w:lang w:val="en-US" w:eastAsia="zh-CN"/>
        </w:rPr>
      </w:pPr>
      <w:r>
        <w:rPr>
          <w:rFonts w:hint="eastAsia" w:asciiTheme="minorEastAsia" w:hAnsiTheme="minorEastAsia" w:eastAsiaTheme="minorEastAsia" w:cstheme="minorEastAsia"/>
          <w:b/>
          <w:bCs w:val="0"/>
          <w:color w:val="auto"/>
          <w:sz w:val="24"/>
          <w:szCs w:val="24"/>
        </w:rPr>
        <w:t>春</w:t>
      </w:r>
      <w:r>
        <w:rPr>
          <w:rFonts w:hint="eastAsia" w:asciiTheme="minorEastAsia" w:hAnsiTheme="minorEastAsia" w:eastAsiaTheme="minorEastAsia" w:cstheme="minorEastAsia"/>
          <w:b/>
          <w:bCs w:val="0"/>
          <w:color w:val="auto"/>
          <w:sz w:val="24"/>
          <w:szCs w:val="24"/>
          <w:lang w:val="en-US" w:eastAsia="zh-CN"/>
        </w:rPr>
        <w:t>季：</w:t>
      </w:r>
    </w:p>
    <w:p>
      <w:pPr>
        <w:pStyle w:val="9"/>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420" w:leftChars="200" w:right="0" w:rightChars="0"/>
        <w:textAlignment w:val="auto"/>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lang w:val="en-US" w:eastAsia="zh-CN"/>
        </w:rPr>
        <w:t>逐步</w:t>
      </w:r>
      <w:r>
        <w:rPr>
          <w:rFonts w:hint="eastAsia" w:asciiTheme="minorEastAsia" w:hAnsiTheme="minorEastAsia" w:eastAsiaTheme="minorEastAsia" w:cstheme="minorEastAsia"/>
          <w:b w:val="0"/>
          <w:bCs/>
          <w:color w:val="auto"/>
          <w:sz w:val="24"/>
          <w:szCs w:val="24"/>
        </w:rPr>
        <w:t>撤除防寒设施和防寒物，进行灌溉与施肥，为树木萌发生长创造适宜的水肥条件</w:t>
      </w:r>
      <w:r>
        <w:rPr>
          <w:rFonts w:hint="eastAsia" w:asciiTheme="minorEastAsia" w:hAnsiTheme="minorEastAsia" w:eastAsiaTheme="minorEastAsia" w:cstheme="minorEastAsia"/>
          <w:b w:val="0"/>
          <w:bCs/>
          <w:color w:val="auto"/>
          <w:sz w:val="24"/>
          <w:szCs w:val="24"/>
          <w:lang w:eastAsia="zh-CN"/>
        </w:rPr>
        <w:t>。</w:t>
      </w:r>
    </w:p>
    <w:p>
      <w:pPr>
        <w:pStyle w:val="9"/>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420" w:leftChars="200" w:right="0" w:rightChars="0" w:firstLine="0" w:firstLineChars="0"/>
        <w:textAlignment w:val="auto"/>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对原有和新植树木进行抹芽</w:t>
      </w:r>
      <w:r>
        <w:rPr>
          <w:rFonts w:hint="eastAsia" w:asciiTheme="minorEastAsia" w:hAnsiTheme="minorEastAsia" w:eastAsiaTheme="minorEastAsia" w:cstheme="minorEastAsia"/>
          <w:b w:val="0"/>
          <w:bCs/>
          <w:color w:val="auto"/>
          <w:sz w:val="24"/>
          <w:szCs w:val="24"/>
          <w:lang w:eastAsia="zh-CN"/>
        </w:rPr>
        <w:t>。</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420" w:leftChars="200" w:right="0" w:rightChars="0"/>
        <w:textAlignment w:val="auto"/>
        <w:rPr>
          <w:rFonts w:hint="eastAsia" w:asciiTheme="minorEastAsia" w:hAnsiTheme="minorEastAsia" w:eastAsiaTheme="minorEastAsia" w:cstheme="minorEastAsia"/>
          <w:b w:val="0"/>
          <w:bCs/>
          <w:color w:val="auto"/>
          <w:sz w:val="24"/>
          <w:szCs w:val="24"/>
          <w:lang w:eastAsia="zh-CN"/>
        </w:rPr>
      </w:pPr>
      <w:r>
        <w:rPr>
          <w:rFonts w:hint="eastAsia" w:asciiTheme="minorEastAsia" w:hAnsiTheme="minorEastAsia" w:eastAsiaTheme="minorEastAsia" w:cstheme="minorEastAsia"/>
          <w:b w:val="0"/>
          <w:bCs/>
          <w:color w:val="auto"/>
          <w:sz w:val="24"/>
          <w:szCs w:val="24"/>
          <w:lang w:val="en-US" w:eastAsia="zh-CN"/>
        </w:rPr>
        <w:t>3</w:t>
      </w:r>
      <w:r>
        <w:rPr>
          <w:rFonts w:hint="eastAsia" w:asciiTheme="minorEastAsia" w:hAnsiTheme="minorEastAsia" w:eastAsiaTheme="minorEastAsia" w:cstheme="minorEastAsia"/>
          <w:b w:val="0"/>
          <w:bCs/>
          <w:color w:val="auto"/>
          <w:sz w:val="24"/>
          <w:szCs w:val="24"/>
        </w:rPr>
        <w:t>、风害树木顺势扶正，根部培土成馒头型，并立支柱</w:t>
      </w:r>
      <w:r>
        <w:rPr>
          <w:rFonts w:hint="eastAsia" w:asciiTheme="minorEastAsia" w:hAnsiTheme="minorEastAsia" w:eastAsiaTheme="minorEastAsia" w:cstheme="minorEastAsia"/>
          <w:b w:val="0"/>
          <w:bCs/>
          <w:color w:val="auto"/>
          <w:sz w:val="24"/>
          <w:szCs w:val="24"/>
          <w:lang w:eastAsia="zh-CN"/>
        </w:rPr>
        <w:t>。</w:t>
      </w:r>
    </w:p>
    <w:p>
      <w:pPr>
        <w:keepNext w:val="0"/>
        <w:keepLines w:val="0"/>
        <w:pageBreakBefore w:val="0"/>
        <w:kinsoku/>
        <w:wordWrap/>
        <w:overflowPunct/>
        <w:topLinePunct w:val="0"/>
        <w:autoSpaceDE/>
        <w:autoSpaceDN/>
        <w:bidi w:val="0"/>
        <w:adjustRightInd w:val="0"/>
        <w:snapToGrid w:val="0"/>
        <w:spacing w:line="560" w:lineRule="exact"/>
        <w:ind w:left="420" w:leftChars="200"/>
        <w:jc w:val="both"/>
        <w:textAlignment w:val="auto"/>
        <w:outlineLvl w:val="0"/>
        <w:rPr>
          <w:rFonts w:hint="eastAsia" w:asciiTheme="minorEastAsia" w:hAnsiTheme="minorEastAsia" w:eastAsiaTheme="minorEastAsia" w:cstheme="minorEastAsia"/>
          <w:b w:val="0"/>
          <w:bCs/>
          <w:color w:val="auto"/>
          <w:sz w:val="24"/>
          <w:szCs w:val="24"/>
          <w:lang w:eastAsia="zh-CN"/>
        </w:rPr>
      </w:pPr>
      <w:r>
        <w:rPr>
          <w:rFonts w:hint="eastAsia" w:asciiTheme="minorEastAsia" w:hAnsiTheme="minorEastAsia" w:eastAsiaTheme="minorEastAsia" w:cstheme="minorEastAsia"/>
          <w:b w:val="0"/>
          <w:bCs/>
          <w:color w:val="auto"/>
          <w:sz w:val="24"/>
          <w:szCs w:val="24"/>
          <w:lang w:val="en-US" w:eastAsia="zh-CN"/>
        </w:rPr>
        <w:t>4</w:t>
      </w:r>
      <w:r>
        <w:rPr>
          <w:rFonts w:hint="eastAsia" w:asciiTheme="minorEastAsia" w:hAnsiTheme="minorEastAsia" w:eastAsiaTheme="minorEastAsia" w:cstheme="minorEastAsia"/>
          <w:b w:val="0"/>
          <w:bCs/>
          <w:color w:val="auto"/>
          <w:sz w:val="24"/>
          <w:szCs w:val="24"/>
        </w:rPr>
        <w:t>、做好春季病虫害防治工作，三月份即开始进行全面预防喷药</w:t>
      </w:r>
      <w:r>
        <w:rPr>
          <w:rFonts w:hint="eastAsia" w:asciiTheme="minorEastAsia" w:hAnsiTheme="minorEastAsia" w:eastAsiaTheme="minorEastAsia" w:cstheme="minorEastAsia"/>
          <w:b w:val="0"/>
          <w:bCs/>
          <w:color w:val="auto"/>
          <w:sz w:val="24"/>
          <w:szCs w:val="24"/>
          <w:lang w:eastAsia="zh-CN"/>
        </w:rPr>
        <w:t>。</w:t>
      </w:r>
    </w:p>
    <w:p>
      <w:pPr>
        <w:keepNext w:val="0"/>
        <w:keepLines w:val="0"/>
        <w:pageBreakBefore w:val="0"/>
        <w:kinsoku/>
        <w:wordWrap/>
        <w:overflowPunct/>
        <w:topLinePunct w:val="0"/>
        <w:autoSpaceDE/>
        <w:autoSpaceDN/>
        <w:bidi w:val="0"/>
        <w:adjustRightInd w:val="0"/>
        <w:snapToGrid w:val="0"/>
        <w:spacing w:line="560" w:lineRule="exact"/>
        <w:ind w:left="420" w:leftChars="200"/>
        <w:jc w:val="both"/>
        <w:textAlignment w:val="auto"/>
        <w:outlineLvl w:val="0"/>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lang w:val="en-US" w:eastAsia="zh-CN"/>
        </w:rPr>
        <w:t>5</w:t>
      </w:r>
      <w:r>
        <w:rPr>
          <w:rFonts w:hint="eastAsia" w:asciiTheme="minorEastAsia" w:hAnsiTheme="minorEastAsia" w:eastAsiaTheme="minorEastAsia" w:cstheme="minorEastAsia"/>
          <w:b w:val="0"/>
          <w:bCs/>
          <w:color w:val="auto"/>
          <w:sz w:val="24"/>
          <w:szCs w:val="24"/>
        </w:rPr>
        <w:t>、做好雨季防涝的工作准备。</w:t>
      </w:r>
    </w:p>
    <w:p>
      <w:pPr>
        <w:keepNext w:val="0"/>
        <w:keepLines w:val="0"/>
        <w:pageBreakBefore w:val="0"/>
        <w:kinsoku/>
        <w:wordWrap/>
        <w:overflowPunct/>
        <w:topLinePunct w:val="0"/>
        <w:autoSpaceDE/>
        <w:autoSpaceDN/>
        <w:bidi w:val="0"/>
        <w:adjustRightInd w:val="0"/>
        <w:snapToGrid w:val="0"/>
        <w:spacing w:line="560" w:lineRule="exact"/>
        <w:ind w:left="420" w:leftChars="200"/>
        <w:jc w:val="both"/>
        <w:textAlignment w:val="auto"/>
        <w:outlineLvl w:val="0"/>
        <w:rPr>
          <w:rFonts w:hint="eastAsia" w:asciiTheme="minorEastAsia" w:hAnsiTheme="minorEastAsia" w:eastAsiaTheme="minorEastAsia" w:cstheme="minorEastAsia"/>
          <w:b/>
          <w:bCs w:val="0"/>
          <w:color w:val="auto"/>
          <w:sz w:val="24"/>
          <w:szCs w:val="24"/>
        </w:rPr>
      </w:pPr>
      <w:r>
        <w:rPr>
          <w:rFonts w:hint="eastAsia" w:asciiTheme="minorEastAsia" w:hAnsiTheme="minorEastAsia" w:eastAsiaTheme="minorEastAsia" w:cstheme="minorEastAsia"/>
          <w:b/>
          <w:bCs w:val="0"/>
          <w:color w:val="auto"/>
          <w:sz w:val="24"/>
          <w:szCs w:val="24"/>
        </w:rPr>
        <w:t>夏</w:t>
      </w:r>
      <w:r>
        <w:rPr>
          <w:rFonts w:hint="eastAsia" w:asciiTheme="minorEastAsia" w:hAnsiTheme="minorEastAsia" w:eastAsiaTheme="minorEastAsia" w:cstheme="minorEastAsia"/>
          <w:b/>
          <w:bCs w:val="0"/>
          <w:color w:val="auto"/>
          <w:sz w:val="24"/>
          <w:szCs w:val="24"/>
          <w:lang w:val="en-US" w:eastAsia="zh-CN"/>
        </w:rPr>
        <w:t>季</w:t>
      </w:r>
      <w:r>
        <w:rPr>
          <w:rFonts w:hint="eastAsia" w:asciiTheme="minorEastAsia" w:hAnsiTheme="minorEastAsia" w:eastAsiaTheme="minorEastAsia" w:cstheme="minorEastAsia"/>
          <w:b/>
          <w:bCs w:val="0"/>
          <w:color w:val="auto"/>
          <w:sz w:val="24"/>
          <w:szCs w:val="24"/>
        </w:rPr>
        <w:t>:</w:t>
      </w:r>
    </w:p>
    <w:p>
      <w:pPr>
        <w:keepNext w:val="0"/>
        <w:keepLines w:val="0"/>
        <w:pageBreakBefore w:val="0"/>
        <w:kinsoku/>
        <w:wordWrap/>
        <w:overflowPunct/>
        <w:topLinePunct w:val="0"/>
        <w:autoSpaceDE/>
        <w:autoSpaceDN/>
        <w:bidi w:val="0"/>
        <w:adjustRightInd w:val="0"/>
        <w:snapToGrid w:val="0"/>
        <w:spacing w:line="560" w:lineRule="exact"/>
        <w:ind w:left="420" w:leftChars="200"/>
        <w:jc w:val="both"/>
        <w:textAlignment w:val="auto"/>
        <w:outlineLvl w:val="0"/>
        <w:rPr>
          <w:rFonts w:hint="eastAsia" w:asciiTheme="minorEastAsia" w:hAnsiTheme="minorEastAsia" w:eastAsiaTheme="minorEastAsia" w:cstheme="minorEastAsia"/>
          <w:b w:val="0"/>
          <w:bCs/>
          <w:color w:val="auto"/>
          <w:sz w:val="24"/>
          <w:szCs w:val="24"/>
          <w:lang w:eastAsia="zh-CN"/>
        </w:rPr>
      </w:pPr>
      <w:r>
        <w:rPr>
          <w:rFonts w:hint="eastAsia" w:asciiTheme="minorEastAsia" w:hAnsiTheme="minorEastAsia" w:eastAsiaTheme="minorEastAsia" w:cstheme="minorEastAsia"/>
          <w:b w:val="0"/>
          <w:bCs/>
          <w:color w:val="auto"/>
          <w:sz w:val="24"/>
          <w:szCs w:val="24"/>
        </w:rPr>
        <w:t>1、抓紧浇水抗早，雨水过多时加强排水防涝</w:t>
      </w:r>
      <w:r>
        <w:rPr>
          <w:rFonts w:hint="eastAsia" w:asciiTheme="minorEastAsia" w:hAnsiTheme="minorEastAsia" w:eastAsiaTheme="minorEastAsia" w:cstheme="minorEastAsia"/>
          <w:b w:val="0"/>
          <w:bCs/>
          <w:color w:val="auto"/>
          <w:sz w:val="24"/>
          <w:szCs w:val="24"/>
          <w:lang w:eastAsia="zh-CN"/>
        </w:rPr>
        <w:t>。</w:t>
      </w:r>
    </w:p>
    <w:p>
      <w:pPr>
        <w:keepNext w:val="0"/>
        <w:keepLines w:val="0"/>
        <w:pageBreakBefore w:val="0"/>
        <w:kinsoku/>
        <w:wordWrap/>
        <w:overflowPunct/>
        <w:topLinePunct w:val="0"/>
        <w:autoSpaceDE/>
        <w:autoSpaceDN/>
        <w:bidi w:val="0"/>
        <w:adjustRightInd w:val="0"/>
        <w:snapToGrid w:val="0"/>
        <w:spacing w:line="560" w:lineRule="exact"/>
        <w:ind w:left="420" w:leftChars="200"/>
        <w:jc w:val="both"/>
        <w:textAlignment w:val="auto"/>
        <w:outlineLvl w:val="0"/>
        <w:rPr>
          <w:rFonts w:hint="eastAsia" w:asciiTheme="minorEastAsia" w:hAnsiTheme="minorEastAsia" w:eastAsiaTheme="minorEastAsia" w:cstheme="minorEastAsia"/>
          <w:b w:val="0"/>
          <w:bCs/>
          <w:color w:val="auto"/>
          <w:sz w:val="24"/>
          <w:szCs w:val="24"/>
          <w:lang w:eastAsia="zh-CN"/>
        </w:rPr>
      </w:pPr>
      <w:r>
        <w:rPr>
          <w:rFonts w:hint="eastAsia" w:asciiTheme="minorEastAsia" w:hAnsiTheme="minorEastAsia" w:eastAsiaTheme="minorEastAsia" w:cstheme="minorEastAsia"/>
          <w:b w:val="0"/>
          <w:bCs/>
          <w:color w:val="auto"/>
          <w:sz w:val="24"/>
          <w:szCs w:val="24"/>
        </w:rPr>
        <w:t>2、严防病虫害，特别是叶面病虫害的发生</w:t>
      </w:r>
      <w:r>
        <w:rPr>
          <w:rFonts w:hint="eastAsia" w:asciiTheme="minorEastAsia" w:hAnsiTheme="minorEastAsia" w:eastAsiaTheme="minorEastAsia" w:cstheme="minorEastAsia"/>
          <w:b w:val="0"/>
          <w:bCs/>
          <w:color w:val="auto"/>
          <w:sz w:val="24"/>
          <w:szCs w:val="24"/>
          <w:lang w:eastAsia="zh-CN"/>
        </w:rPr>
        <w:t>。</w:t>
      </w:r>
    </w:p>
    <w:p>
      <w:pPr>
        <w:keepNext w:val="0"/>
        <w:keepLines w:val="0"/>
        <w:pageBreakBefore w:val="0"/>
        <w:kinsoku/>
        <w:wordWrap/>
        <w:overflowPunct/>
        <w:topLinePunct w:val="0"/>
        <w:autoSpaceDE/>
        <w:autoSpaceDN/>
        <w:bidi w:val="0"/>
        <w:adjustRightInd w:val="0"/>
        <w:snapToGrid w:val="0"/>
        <w:spacing w:line="560" w:lineRule="exact"/>
        <w:ind w:left="420" w:leftChars="200"/>
        <w:jc w:val="left"/>
        <w:textAlignment w:val="auto"/>
        <w:outlineLvl w:val="0"/>
        <w:rPr>
          <w:rFonts w:hint="eastAsia" w:asciiTheme="minorEastAsia" w:hAnsiTheme="minorEastAsia" w:eastAsiaTheme="minorEastAsia" w:cstheme="minorEastAsia"/>
          <w:b w:val="0"/>
          <w:bCs/>
          <w:color w:val="auto"/>
          <w:sz w:val="24"/>
          <w:szCs w:val="24"/>
          <w:lang w:eastAsia="zh-CN"/>
        </w:rPr>
      </w:pPr>
      <w:r>
        <w:rPr>
          <w:rFonts w:hint="eastAsia" w:asciiTheme="minorEastAsia" w:hAnsiTheme="minorEastAsia" w:eastAsiaTheme="minorEastAsia" w:cstheme="minorEastAsia"/>
          <w:b w:val="0"/>
          <w:bCs/>
          <w:color w:val="auto"/>
          <w:sz w:val="24"/>
          <w:szCs w:val="24"/>
        </w:rPr>
        <w:t>3、进行生长期修剪，宜尽量从轻，主要控制竞争枝、内膛枝、直立枝、徒长枝的发生和长势，以集中营养供骨干枝旺盛生长之需</w:t>
      </w:r>
      <w:r>
        <w:rPr>
          <w:rFonts w:hint="eastAsia" w:asciiTheme="minorEastAsia" w:hAnsiTheme="minorEastAsia" w:eastAsiaTheme="minorEastAsia" w:cstheme="minorEastAsia"/>
          <w:b w:val="0"/>
          <w:bCs/>
          <w:color w:val="auto"/>
          <w:sz w:val="24"/>
          <w:szCs w:val="24"/>
          <w:lang w:eastAsia="zh-CN"/>
        </w:rPr>
        <w:t>。</w:t>
      </w:r>
    </w:p>
    <w:p>
      <w:pPr>
        <w:keepNext w:val="0"/>
        <w:keepLines w:val="0"/>
        <w:pageBreakBefore w:val="0"/>
        <w:kinsoku/>
        <w:wordWrap/>
        <w:overflowPunct/>
        <w:topLinePunct w:val="0"/>
        <w:autoSpaceDE/>
        <w:autoSpaceDN/>
        <w:bidi w:val="0"/>
        <w:adjustRightInd w:val="0"/>
        <w:snapToGrid w:val="0"/>
        <w:spacing w:line="560" w:lineRule="exact"/>
        <w:ind w:left="420" w:leftChars="200"/>
        <w:jc w:val="both"/>
        <w:textAlignment w:val="auto"/>
        <w:outlineLvl w:val="0"/>
        <w:rPr>
          <w:rFonts w:hint="eastAsia" w:asciiTheme="minorEastAsia" w:hAnsiTheme="minorEastAsia" w:eastAsiaTheme="minorEastAsia" w:cstheme="minorEastAsia"/>
          <w:b/>
          <w:bCs w:val="0"/>
          <w:color w:val="auto"/>
          <w:sz w:val="24"/>
          <w:szCs w:val="24"/>
          <w:lang w:val="en-US" w:eastAsia="zh-CN"/>
        </w:rPr>
      </w:pPr>
      <w:r>
        <w:rPr>
          <w:rFonts w:hint="eastAsia" w:asciiTheme="minorEastAsia" w:hAnsiTheme="minorEastAsia" w:eastAsiaTheme="minorEastAsia" w:cstheme="minorEastAsia"/>
          <w:b/>
          <w:bCs w:val="0"/>
          <w:color w:val="auto"/>
          <w:sz w:val="24"/>
          <w:szCs w:val="24"/>
        </w:rPr>
        <w:t>秋</w:t>
      </w:r>
      <w:r>
        <w:rPr>
          <w:rFonts w:hint="eastAsia" w:asciiTheme="minorEastAsia" w:hAnsiTheme="minorEastAsia" w:eastAsiaTheme="minorEastAsia" w:cstheme="minorEastAsia"/>
          <w:b/>
          <w:bCs w:val="0"/>
          <w:color w:val="auto"/>
          <w:sz w:val="24"/>
          <w:szCs w:val="24"/>
          <w:lang w:val="en-US" w:eastAsia="zh-CN"/>
        </w:rPr>
        <w:t>季</w:t>
      </w:r>
    </w:p>
    <w:p>
      <w:pPr>
        <w:keepNext w:val="0"/>
        <w:keepLines w:val="0"/>
        <w:pageBreakBefore w:val="0"/>
        <w:kinsoku/>
        <w:wordWrap/>
        <w:overflowPunct/>
        <w:topLinePunct w:val="0"/>
        <w:autoSpaceDE/>
        <w:autoSpaceDN/>
        <w:bidi w:val="0"/>
        <w:adjustRightInd w:val="0"/>
        <w:snapToGrid w:val="0"/>
        <w:spacing w:line="560" w:lineRule="exact"/>
        <w:ind w:left="420" w:leftChars="200"/>
        <w:jc w:val="both"/>
        <w:textAlignment w:val="auto"/>
        <w:outlineLvl w:val="0"/>
        <w:rPr>
          <w:rFonts w:hint="eastAsia" w:asciiTheme="minorEastAsia" w:hAnsiTheme="minorEastAsia" w:eastAsiaTheme="minorEastAsia" w:cstheme="minorEastAsia"/>
          <w:b w:val="0"/>
          <w:bCs/>
          <w:color w:val="auto"/>
          <w:sz w:val="24"/>
          <w:szCs w:val="24"/>
          <w:lang w:eastAsia="zh-CN"/>
        </w:rPr>
      </w:pPr>
      <w:r>
        <w:rPr>
          <w:rFonts w:hint="eastAsia" w:asciiTheme="minorEastAsia" w:hAnsiTheme="minorEastAsia" w:eastAsiaTheme="minorEastAsia" w:cstheme="minorEastAsia"/>
          <w:b w:val="0"/>
          <w:bCs/>
          <w:color w:val="auto"/>
          <w:sz w:val="24"/>
          <w:szCs w:val="24"/>
        </w:rPr>
        <w:t>1、继续做好抗旱排涝后期工作，旱时灌水，涝时及时排积水</w:t>
      </w:r>
      <w:r>
        <w:rPr>
          <w:rFonts w:hint="eastAsia" w:asciiTheme="minorEastAsia" w:hAnsiTheme="minorEastAsia" w:eastAsiaTheme="minorEastAsia" w:cstheme="minorEastAsia"/>
          <w:b w:val="0"/>
          <w:bCs/>
          <w:color w:val="auto"/>
          <w:sz w:val="24"/>
          <w:szCs w:val="24"/>
          <w:lang w:eastAsia="zh-CN"/>
        </w:rPr>
        <w:t>。</w:t>
      </w:r>
    </w:p>
    <w:p>
      <w:pPr>
        <w:keepNext w:val="0"/>
        <w:keepLines w:val="0"/>
        <w:pageBreakBefore w:val="0"/>
        <w:kinsoku/>
        <w:wordWrap/>
        <w:overflowPunct/>
        <w:topLinePunct w:val="0"/>
        <w:autoSpaceDE/>
        <w:autoSpaceDN/>
        <w:bidi w:val="0"/>
        <w:adjustRightInd w:val="0"/>
        <w:snapToGrid w:val="0"/>
        <w:spacing w:line="560" w:lineRule="exact"/>
        <w:ind w:left="420" w:leftChars="200"/>
        <w:jc w:val="both"/>
        <w:textAlignment w:val="auto"/>
        <w:outlineLvl w:val="0"/>
        <w:rPr>
          <w:rFonts w:hint="eastAsia" w:asciiTheme="minorEastAsia" w:hAnsiTheme="minorEastAsia" w:eastAsiaTheme="minorEastAsia" w:cstheme="minorEastAsia"/>
          <w:b w:val="0"/>
          <w:bCs/>
          <w:color w:val="auto"/>
          <w:sz w:val="24"/>
          <w:szCs w:val="24"/>
          <w:lang w:eastAsia="zh-CN"/>
        </w:rPr>
      </w:pPr>
      <w:r>
        <w:rPr>
          <w:rFonts w:hint="eastAsia" w:asciiTheme="minorEastAsia" w:hAnsiTheme="minorEastAsia" w:eastAsiaTheme="minorEastAsia" w:cstheme="minorEastAsia"/>
          <w:b w:val="0"/>
          <w:bCs/>
          <w:color w:val="auto"/>
          <w:sz w:val="24"/>
          <w:szCs w:val="24"/>
        </w:rPr>
        <w:t>2、做好秋季植树:防治病虫害，及时进行药物喷洒</w:t>
      </w:r>
      <w:r>
        <w:rPr>
          <w:rFonts w:hint="eastAsia" w:asciiTheme="minorEastAsia" w:hAnsiTheme="minorEastAsia" w:eastAsiaTheme="minorEastAsia" w:cstheme="minorEastAsia"/>
          <w:b w:val="0"/>
          <w:bCs/>
          <w:color w:val="auto"/>
          <w:sz w:val="24"/>
          <w:szCs w:val="24"/>
          <w:lang w:eastAsia="zh-CN"/>
        </w:rPr>
        <w:t>。</w:t>
      </w:r>
    </w:p>
    <w:p>
      <w:pPr>
        <w:keepNext w:val="0"/>
        <w:keepLines w:val="0"/>
        <w:pageBreakBefore w:val="0"/>
        <w:kinsoku/>
        <w:wordWrap/>
        <w:overflowPunct/>
        <w:topLinePunct w:val="0"/>
        <w:autoSpaceDE/>
        <w:autoSpaceDN/>
        <w:bidi w:val="0"/>
        <w:adjustRightInd w:val="0"/>
        <w:snapToGrid w:val="0"/>
        <w:spacing w:line="560" w:lineRule="exact"/>
        <w:ind w:left="420" w:leftChars="200"/>
        <w:jc w:val="both"/>
        <w:textAlignment w:val="auto"/>
        <w:outlineLvl w:val="0"/>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4、为施冬肥做好准备。</w:t>
      </w:r>
    </w:p>
    <w:p>
      <w:pPr>
        <w:keepNext w:val="0"/>
        <w:keepLines w:val="0"/>
        <w:pageBreakBefore w:val="0"/>
        <w:kinsoku/>
        <w:wordWrap/>
        <w:overflowPunct/>
        <w:topLinePunct w:val="0"/>
        <w:autoSpaceDE/>
        <w:autoSpaceDN/>
        <w:bidi w:val="0"/>
        <w:adjustRightInd w:val="0"/>
        <w:snapToGrid w:val="0"/>
        <w:spacing w:line="560" w:lineRule="exact"/>
        <w:ind w:left="420" w:leftChars="200"/>
        <w:jc w:val="both"/>
        <w:textAlignment w:val="auto"/>
        <w:outlineLvl w:val="0"/>
        <w:rPr>
          <w:rFonts w:hint="eastAsia" w:asciiTheme="minorEastAsia" w:hAnsiTheme="minorEastAsia" w:eastAsiaTheme="minorEastAsia" w:cstheme="minorEastAsia"/>
          <w:b/>
          <w:bCs w:val="0"/>
          <w:color w:val="auto"/>
          <w:sz w:val="24"/>
          <w:szCs w:val="24"/>
          <w:lang w:val="en-US" w:eastAsia="zh-CN"/>
        </w:rPr>
      </w:pPr>
      <w:r>
        <w:rPr>
          <w:rFonts w:hint="eastAsia" w:asciiTheme="minorEastAsia" w:hAnsiTheme="minorEastAsia" w:eastAsiaTheme="minorEastAsia" w:cstheme="minorEastAsia"/>
          <w:b/>
          <w:bCs w:val="0"/>
          <w:color w:val="auto"/>
          <w:sz w:val="24"/>
          <w:szCs w:val="24"/>
        </w:rPr>
        <w:t>冬</w:t>
      </w:r>
      <w:r>
        <w:rPr>
          <w:rFonts w:hint="eastAsia" w:asciiTheme="minorEastAsia" w:hAnsiTheme="minorEastAsia" w:eastAsiaTheme="minorEastAsia" w:cstheme="minorEastAsia"/>
          <w:b/>
          <w:bCs w:val="0"/>
          <w:color w:val="auto"/>
          <w:sz w:val="24"/>
          <w:szCs w:val="24"/>
          <w:lang w:val="en-US" w:eastAsia="zh-CN"/>
        </w:rPr>
        <w:t>季</w:t>
      </w:r>
    </w:p>
    <w:p>
      <w:pPr>
        <w:keepNext w:val="0"/>
        <w:keepLines w:val="0"/>
        <w:pageBreakBefore w:val="0"/>
        <w:kinsoku/>
        <w:wordWrap/>
        <w:overflowPunct/>
        <w:topLinePunct w:val="0"/>
        <w:autoSpaceDE/>
        <w:autoSpaceDN/>
        <w:bidi w:val="0"/>
        <w:adjustRightInd w:val="0"/>
        <w:snapToGrid w:val="0"/>
        <w:spacing w:line="560" w:lineRule="exact"/>
        <w:ind w:left="420" w:leftChars="200"/>
        <w:jc w:val="left"/>
        <w:textAlignment w:val="auto"/>
        <w:outlineLvl w:val="0"/>
        <w:rPr>
          <w:rFonts w:hint="eastAsia" w:asciiTheme="minorEastAsia" w:hAnsiTheme="minorEastAsia" w:eastAsiaTheme="minorEastAsia" w:cstheme="minorEastAsia"/>
          <w:b w:val="0"/>
          <w:bCs/>
          <w:color w:val="auto"/>
          <w:sz w:val="24"/>
          <w:szCs w:val="24"/>
          <w:lang w:eastAsia="zh-CN"/>
        </w:rPr>
      </w:pPr>
      <w:r>
        <w:rPr>
          <w:rFonts w:hint="eastAsia" w:asciiTheme="minorEastAsia" w:hAnsiTheme="minorEastAsia" w:eastAsiaTheme="minorEastAsia" w:cstheme="minorEastAsia"/>
          <w:b w:val="0"/>
          <w:bCs/>
          <w:color w:val="auto"/>
          <w:sz w:val="24"/>
          <w:szCs w:val="24"/>
        </w:rPr>
        <w:t>1、进行冬季整形修剪，幼树的修剪以整形为主，对观叶树以控制侧枝生长，促进主枝生长为目的，修去病虫枝、徒长枝、过密枝、枯死枝以及藤蔓寄生植物，保持树形优美:</w:t>
      </w:r>
      <w:r>
        <w:rPr>
          <w:rFonts w:hint="eastAsia" w:asciiTheme="minorEastAsia" w:hAnsiTheme="minorEastAsia" w:eastAsiaTheme="minorEastAsia" w:cstheme="minorEastAsia"/>
          <w:b w:val="0"/>
          <w:bCs/>
          <w:color w:val="auto"/>
          <w:sz w:val="24"/>
          <w:szCs w:val="24"/>
          <w:lang w:eastAsia="zh-CN"/>
        </w:rPr>
        <w:t>。</w:t>
      </w:r>
    </w:p>
    <w:p>
      <w:pPr>
        <w:keepNext w:val="0"/>
        <w:keepLines w:val="0"/>
        <w:pageBreakBefore w:val="0"/>
        <w:kinsoku/>
        <w:wordWrap/>
        <w:overflowPunct/>
        <w:topLinePunct w:val="0"/>
        <w:autoSpaceDE/>
        <w:autoSpaceDN/>
        <w:bidi w:val="0"/>
        <w:adjustRightInd w:val="0"/>
        <w:snapToGrid w:val="0"/>
        <w:spacing w:line="560" w:lineRule="exact"/>
        <w:ind w:left="420" w:leftChars="200"/>
        <w:jc w:val="both"/>
        <w:textAlignment w:val="auto"/>
        <w:outlineLvl w:val="0"/>
        <w:rPr>
          <w:rFonts w:hint="eastAsia" w:asciiTheme="minorEastAsia" w:hAnsiTheme="minorEastAsia" w:eastAsiaTheme="minorEastAsia" w:cstheme="minorEastAsia"/>
          <w:b w:val="0"/>
          <w:bCs/>
          <w:color w:val="auto"/>
          <w:sz w:val="24"/>
          <w:szCs w:val="24"/>
          <w:lang w:eastAsia="zh-CN"/>
        </w:rPr>
      </w:pPr>
      <w:r>
        <w:rPr>
          <w:rFonts w:hint="eastAsia" w:asciiTheme="minorEastAsia" w:hAnsiTheme="minorEastAsia" w:eastAsiaTheme="minorEastAsia" w:cstheme="minorEastAsia"/>
          <w:b w:val="0"/>
          <w:bCs/>
          <w:color w:val="auto"/>
          <w:sz w:val="24"/>
          <w:szCs w:val="24"/>
        </w:rPr>
        <w:t>2、开环状沟施冬肥，保障来年生长</w:t>
      </w:r>
      <w:r>
        <w:rPr>
          <w:rFonts w:hint="eastAsia" w:asciiTheme="minorEastAsia" w:hAnsiTheme="minorEastAsia" w:eastAsiaTheme="minorEastAsia" w:cstheme="minorEastAsia"/>
          <w:b w:val="0"/>
          <w:bCs/>
          <w:color w:val="auto"/>
          <w:sz w:val="24"/>
          <w:szCs w:val="24"/>
          <w:lang w:eastAsia="zh-CN"/>
        </w:rPr>
        <w:t>。</w:t>
      </w:r>
    </w:p>
    <w:p>
      <w:pPr>
        <w:keepNext w:val="0"/>
        <w:keepLines w:val="0"/>
        <w:pageBreakBefore w:val="0"/>
        <w:kinsoku/>
        <w:wordWrap/>
        <w:overflowPunct/>
        <w:topLinePunct w:val="0"/>
        <w:autoSpaceDE/>
        <w:autoSpaceDN/>
        <w:bidi w:val="0"/>
        <w:adjustRightInd w:val="0"/>
        <w:snapToGrid w:val="0"/>
        <w:spacing w:line="560" w:lineRule="exact"/>
        <w:ind w:left="420" w:leftChars="200"/>
        <w:jc w:val="both"/>
        <w:textAlignment w:val="auto"/>
        <w:outlineLvl w:val="0"/>
        <w:rPr>
          <w:rFonts w:hint="eastAsia" w:asciiTheme="minorEastAsia" w:hAnsiTheme="minorEastAsia" w:eastAsiaTheme="minorEastAsia" w:cstheme="minorEastAsia"/>
          <w:b w:val="0"/>
          <w:bCs/>
          <w:color w:val="auto"/>
          <w:sz w:val="24"/>
          <w:szCs w:val="24"/>
          <w:lang w:eastAsia="zh-CN"/>
        </w:rPr>
      </w:pPr>
      <w:r>
        <w:rPr>
          <w:rFonts w:hint="eastAsia" w:asciiTheme="minorEastAsia" w:hAnsiTheme="minorEastAsia" w:eastAsiaTheme="minorEastAsia" w:cstheme="minorEastAsia"/>
          <w:b w:val="0"/>
          <w:bCs/>
          <w:color w:val="auto"/>
          <w:sz w:val="24"/>
          <w:szCs w:val="24"/>
        </w:rPr>
        <w:t>3、做好防寒工作，对新栽不耐寒树种树干基部以上缠绕草绳御寒</w:t>
      </w:r>
      <w:r>
        <w:rPr>
          <w:rFonts w:hint="eastAsia" w:asciiTheme="minorEastAsia" w:hAnsiTheme="minorEastAsia" w:eastAsiaTheme="minorEastAsia" w:cstheme="minorEastAsia"/>
          <w:b w:val="0"/>
          <w:bCs/>
          <w:color w:val="auto"/>
          <w:sz w:val="24"/>
          <w:szCs w:val="24"/>
          <w:lang w:eastAsia="zh-CN"/>
        </w:rPr>
        <w:t>。</w:t>
      </w:r>
    </w:p>
    <w:p>
      <w:pPr>
        <w:keepNext w:val="0"/>
        <w:keepLines w:val="0"/>
        <w:pageBreakBefore w:val="0"/>
        <w:kinsoku/>
        <w:wordWrap/>
        <w:overflowPunct/>
        <w:topLinePunct w:val="0"/>
        <w:autoSpaceDE/>
        <w:autoSpaceDN/>
        <w:bidi w:val="0"/>
        <w:adjustRightInd w:val="0"/>
        <w:snapToGrid w:val="0"/>
        <w:spacing w:line="560" w:lineRule="exact"/>
        <w:ind w:left="420" w:leftChars="200"/>
        <w:jc w:val="both"/>
        <w:textAlignment w:val="auto"/>
        <w:outlineLvl w:val="0"/>
        <w:rPr>
          <w:rFonts w:hint="eastAsia" w:asciiTheme="minorEastAsia" w:hAnsiTheme="minorEastAsia" w:eastAsiaTheme="minorEastAsia" w:cstheme="minorEastAsia"/>
          <w:b w:val="0"/>
          <w:bCs/>
          <w:color w:val="auto"/>
          <w:sz w:val="24"/>
          <w:szCs w:val="24"/>
          <w:lang w:eastAsia="zh-CN"/>
        </w:rPr>
      </w:pPr>
      <w:r>
        <w:rPr>
          <w:rFonts w:hint="eastAsia" w:asciiTheme="minorEastAsia" w:hAnsiTheme="minorEastAsia" w:eastAsiaTheme="minorEastAsia" w:cstheme="minorEastAsia"/>
          <w:b w:val="0"/>
          <w:bCs/>
          <w:color w:val="auto"/>
          <w:sz w:val="24"/>
          <w:szCs w:val="24"/>
        </w:rPr>
        <w:t>4、防治病虫害，消灭越冬虫包、虫茧和幼虫</w:t>
      </w:r>
      <w:r>
        <w:rPr>
          <w:rFonts w:hint="eastAsia" w:asciiTheme="minorEastAsia" w:hAnsiTheme="minorEastAsia" w:eastAsiaTheme="minorEastAsia" w:cstheme="minorEastAsia"/>
          <w:b w:val="0"/>
          <w:bCs/>
          <w:color w:val="auto"/>
          <w:sz w:val="24"/>
          <w:szCs w:val="24"/>
          <w:lang w:eastAsia="zh-CN"/>
        </w:rPr>
        <w:t>。</w:t>
      </w:r>
    </w:p>
    <w:p>
      <w:pPr>
        <w:keepNext w:val="0"/>
        <w:keepLines w:val="0"/>
        <w:pageBreakBefore w:val="0"/>
        <w:kinsoku/>
        <w:wordWrap/>
        <w:overflowPunct/>
        <w:topLinePunct w:val="0"/>
        <w:autoSpaceDE/>
        <w:autoSpaceDN/>
        <w:bidi w:val="0"/>
        <w:adjustRightInd w:val="0"/>
        <w:snapToGrid w:val="0"/>
        <w:spacing w:line="560" w:lineRule="exact"/>
        <w:ind w:left="420" w:leftChars="200"/>
        <w:jc w:val="left"/>
        <w:textAlignment w:val="auto"/>
        <w:outlineLvl w:val="0"/>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5、刷白: 对生长良好的树干在主干基部以上1.2~1.5米处涂石灰液(浆)加盐刷白，做到涂布均匀，上缘平整。</w:t>
      </w:r>
    </w:p>
    <w:p>
      <w:pPr>
        <w:keepNext w:val="0"/>
        <w:keepLines w:val="0"/>
        <w:pageBreakBefore w:val="0"/>
        <w:kinsoku/>
        <w:wordWrap/>
        <w:overflowPunct/>
        <w:topLinePunct w:val="0"/>
        <w:autoSpaceDE/>
        <w:autoSpaceDN/>
        <w:bidi w:val="0"/>
        <w:adjustRightInd w:val="0"/>
        <w:snapToGrid w:val="0"/>
        <w:spacing w:line="560" w:lineRule="exact"/>
        <w:ind w:left="420" w:leftChars="200"/>
        <w:jc w:val="both"/>
        <w:textAlignment w:val="auto"/>
        <w:outlineLvl w:val="0"/>
        <w:rPr>
          <w:rFonts w:hint="eastAsia" w:asciiTheme="minorEastAsia" w:hAnsiTheme="minorEastAsia" w:eastAsiaTheme="minorEastAsia" w:cstheme="minorEastAsia"/>
          <w:b/>
          <w:bCs w:val="0"/>
          <w:color w:val="auto"/>
          <w:sz w:val="24"/>
          <w:szCs w:val="24"/>
        </w:rPr>
      </w:pPr>
      <w:r>
        <w:rPr>
          <w:rFonts w:hint="eastAsia" w:asciiTheme="minorEastAsia" w:hAnsiTheme="minorEastAsia" w:eastAsiaTheme="minorEastAsia" w:cstheme="minorEastAsia"/>
          <w:b/>
          <w:bCs w:val="0"/>
          <w:color w:val="auto"/>
          <w:sz w:val="24"/>
          <w:szCs w:val="24"/>
        </w:rPr>
        <w:t>二、小乔木、灌木</w:t>
      </w:r>
    </w:p>
    <w:p>
      <w:pPr>
        <w:keepNext w:val="0"/>
        <w:keepLines w:val="0"/>
        <w:pageBreakBefore w:val="0"/>
        <w:kinsoku/>
        <w:wordWrap/>
        <w:overflowPunct/>
        <w:topLinePunct w:val="0"/>
        <w:autoSpaceDE/>
        <w:autoSpaceDN/>
        <w:bidi w:val="0"/>
        <w:adjustRightInd w:val="0"/>
        <w:snapToGrid w:val="0"/>
        <w:spacing w:line="560" w:lineRule="exact"/>
        <w:ind w:left="420" w:leftChars="200"/>
        <w:jc w:val="both"/>
        <w:textAlignment w:val="auto"/>
        <w:outlineLvl w:val="0"/>
        <w:rPr>
          <w:rFonts w:hint="eastAsia" w:asciiTheme="minorEastAsia" w:hAnsiTheme="minorEastAsia" w:eastAsiaTheme="minorEastAsia" w:cstheme="minorEastAsia"/>
          <w:b/>
          <w:bCs w:val="0"/>
          <w:color w:val="auto"/>
          <w:sz w:val="24"/>
          <w:szCs w:val="24"/>
        </w:rPr>
      </w:pPr>
      <w:r>
        <w:rPr>
          <w:rFonts w:hint="eastAsia" w:asciiTheme="minorEastAsia" w:hAnsiTheme="minorEastAsia" w:eastAsiaTheme="minorEastAsia" w:cstheme="minorEastAsia"/>
          <w:b/>
          <w:bCs w:val="0"/>
          <w:color w:val="auto"/>
          <w:sz w:val="24"/>
          <w:szCs w:val="24"/>
        </w:rPr>
        <w:t>春</w:t>
      </w:r>
      <w:r>
        <w:rPr>
          <w:rFonts w:hint="eastAsia" w:asciiTheme="minorEastAsia" w:hAnsiTheme="minorEastAsia" w:eastAsiaTheme="minorEastAsia" w:cstheme="minorEastAsia"/>
          <w:b/>
          <w:bCs w:val="0"/>
          <w:color w:val="auto"/>
          <w:sz w:val="24"/>
          <w:szCs w:val="24"/>
          <w:lang w:val="en-US" w:eastAsia="zh-CN"/>
        </w:rPr>
        <w:t>季</w:t>
      </w:r>
      <w:r>
        <w:rPr>
          <w:rFonts w:hint="eastAsia" w:asciiTheme="minorEastAsia" w:hAnsiTheme="minorEastAsia" w:eastAsiaTheme="minorEastAsia" w:cstheme="minorEastAsia"/>
          <w:b/>
          <w:bCs w:val="0"/>
          <w:color w:val="auto"/>
          <w:sz w:val="24"/>
          <w:szCs w:val="24"/>
        </w:rPr>
        <w:t>:</w:t>
      </w:r>
    </w:p>
    <w:p>
      <w:pPr>
        <w:keepNext w:val="0"/>
        <w:keepLines w:val="0"/>
        <w:pageBreakBefore w:val="0"/>
        <w:kinsoku/>
        <w:wordWrap/>
        <w:overflowPunct/>
        <w:topLinePunct w:val="0"/>
        <w:autoSpaceDE/>
        <w:autoSpaceDN/>
        <w:bidi w:val="0"/>
        <w:adjustRightInd w:val="0"/>
        <w:snapToGrid w:val="0"/>
        <w:spacing w:line="560" w:lineRule="exact"/>
        <w:ind w:left="420" w:leftChars="200"/>
        <w:jc w:val="both"/>
        <w:textAlignment w:val="auto"/>
        <w:outlineLvl w:val="0"/>
        <w:rPr>
          <w:rFonts w:hint="eastAsia" w:asciiTheme="minorEastAsia" w:hAnsiTheme="minorEastAsia" w:eastAsiaTheme="minorEastAsia" w:cstheme="minorEastAsia"/>
          <w:b w:val="0"/>
          <w:bCs/>
          <w:color w:val="auto"/>
          <w:sz w:val="24"/>
          <w:szCs w:val="24"/>
          <w:lang w:eastAsia="zh-CN"/>
        </w:rPr>
      </w:pPr>
      <w:r>
        <w:rPr>
          <w:rFonts w:hint="eastAsia" w:asciiTheme="minorEastAsia" w:hAnsiTheme="minorEastAsia" w:eastAsiaTheme="minorEastAsia" w:cstheme="minorEastAsia"/>
          <w:b w:val="0"/>
          <w:bCs/>
          <w:color w:val="auto"/>
          <w:sz w:val="24"/>
          <w:szCs w:val="24"/>
        </w:rPr>
        <w:t>1、撤除防寒设施和防寒物</w:t>
      </w:r>
      <w:r>
        <w:rPr>
          <w:rFonts w:hint="eastAsia" w:asciiTheme="minorEastAsia" w:hAnsiTheme="minorEastAsia" w:eastAsiaTheme="minorEastAsia" w:cstheme="minorEastAsia"/>
          <w:b w:val="0"/>
          <w:bCs/>
          <w:color w:val="auto"/>
          <w:sz w:val="24"/>
          <w:szCs w:val="24"/>
          <w:lang w:eastAsia="zh-CN"/>
        </w:rPr>
        <w:t>。</w:t>
      </w:r>
    </w:p>
    <w:p>
      <w:pPr>
        <w:keepNext w:val="0"/>
        <w:keepLines w:val="0"/>
        <w:pageBreakBefore w:val="0"/>
        <w:numPr>
          <w:ilvl w:val="0"/>
          <w:numId w:val="3"/>
        </w:numPr>
        <w:kinsoku/>
        <w:wordWrap/>
        <w:overflowPunct/>
        <w:topLinePunct w:val="0"/>
        <w:autoSpaceDE/>
        <w:autoSpaceDN/>
        <w:bidi w:val="0"/>
        <w:adjustRightInd w:val="0"/>
        <w:snapToGrid w:val="0"/>
        <w:spacing w:line="560" w:lineRule="exact"/>
        <w:ind w:left="420" w:leftChars="200"/>
        <w:jc w:val="left"/>
        <w:textAlignment w:val="auto"/>
        <w:outlineLvl w:val="0"/>
        <w:rPr>
          <w:rFonts w:hint="eastAsia" w:asciiTheme="minorEastAsia" w:hAnsiTheme="minorEastAsia" w:eastAsiaTheme="minorEastAsia" w:cstheme="minorEastAsia"/>
          <w:b w:val="0"/>
          <w:bCs/>
          <w:color w:val="auto"/>
          <w:sz w:val="24"/>
          <w:szCs w:val="24"/>
          <w:lang w:eastAsia="zh-CN"/>
        </w:rPr>
      </w:pPr>
      <w:r>
        <w:rPr>
          <w:rFonts w:hint="eastAsia" w:asciiTheme="minorEastAsia" w:hAnsiTheme="minorEastAsia" w:eastAsiaTheme="minorEastAsia" w:cstheme="minorEastAsia"/>
          <w:b w:val="0"/>
          <w:bCs/>
          <w:color w:val="auto"/>
          <w:sz w:val="24"/>
          <w:szCs w:val="24"/>
        </w:rPr>
        <w:t>开展春季施肥工作及深挖松土工作，尤其是早春植物，施以磷钾为主的肥料，促进花芽分化，松土要耐心细致，尽量减少伤害植物根系</w:t>
      </w:r>
      <w:r>
        <w:rPr>
          <w:rFonts w:hint="eastAsia" w:asciiTheme="minorEastAsia" w:hAnsiTheme="minorEastAsia" w:eastAsiaTheme="minorEastAsia" w:cstheme="minorEastAsia"/>
          <w:b w:val="0"/>
          <w:bCs/>
          <w:color w:val="auto"/>
          <w:sz w:val="24"/>
          <w:szCs w:val="24"/>
          <w:lang w:eastAsia="zh-CN"/>
        </w:rPr>
        <w:t>。</w:t>
      </w:r>
    </w:p>
    <w:p>
      <w:pPr>
        <w:keepNext w:val="0"/>
        <w:keepLines w:val="0"/>
        <w:pageBreakBefore w:val="0"/>
        <w:kinsoku/>
        <w:wordWrap/>
        <w:overflowPunct/>
        <w:topLinePunct w:val="0"/>
        <w:autoSpaceDE/>
        <w:autoSpaceDN/>
        <w:bidi w:val="0"/>
        <w:adjustRightInd w:val="0"/>
        <w:snapToGrid w:val="0"/>
        <w:spacing w:line="560" w:lineRule="exact"/>
        <w:ind w:left="420" w:leftChars="200"/>
        <w:jc w:val="both"/>
        <w:textAlignment w:val="auto"/>
        <w:outlineLvl w:val="0"/>
        <w:rPr>
          <w:rFonts w:hint="eastAsia" w:asciiTheme="minorEastAsia" w:hAnsiTheme="minorEastAsia" w:eastAsiaTheme="minorEastAsia" w:cstheme="minorEastAsia"/>
          <w:b w:val="0"/>
          <w:bCs/>
          <w:color w:val="auto"/>
          <w:sz w:val="24"/>
          <w:szCs w:val="24"/>
          <w:lang w:eastAsia="zh-CN"/>
        </w:rPr>
      </w:pPr>
      <w:r>
        <w:rPr>
          <w:rFonts w:hint="eastAsia" w:asciiTheme="minorEastAsia" w:hAnsiTheme="minorEastAsia" w:eastAsiaTheme="minorEastAsia" w:cstheme="minorEastAsia"/>
          <w:b w:val="0"/>
          <w:bCs/>
          <w:color w:val="auto"/>
          <w:sz w:val="24"/>
          <w:szCs w:val="24"/>
        </w:rPr>
        <w:t>3、进行春季整形修剪及开花植物疏蕾工作，蔷薇科植物的整形修剪只宜在春季进行</w:t>
      </w:r>
      <w:r>
        <w:rPr>
          <w:rFonts w:hint="eastAsia" w:asciiTheme="minorEastAsia" w:hAnsiTheme="minorEastAsia" w:eastAsiaTheme="minorEastAsia" w:cstheme="minorEastAsia"/>
          <w:b w:val="0"/>
          <w:bCs/>
          <w:color w:val="auto"/>
          <w:sz w:val="24"/>
          <w:szCs w:val="24"/>
          <w:lang w:eastAsia="zh-CN"/>
        </w:rPr>
        <w:t>。</w:t>
      </w:r>
    </w:p>
    <w:p>
      <w:pPr>
        <w:keepNext w:val="0"/>
        <w:keepLines w:val="0"/>
        <w:pageBreakBefore w:val="0"/>
        <w:kinsoku/>
        <w:wordWrap/>
        <w:overflowPunct/>
        <w:topLinePunct w:val="0"/>
        <w:autoSpaceDE/>
        <w:autoSpaceDN/>
        <w:bidi w:val="0"/>
        <w:adjustRightInd w:val="0"/>
        <w:snapToGrid w:val="0"/>
        <w:spacing w:line="560" w:lineRule="exact"/>
        <w:ind w:left="420" w:leftChars="200"/>
        <w:jc w:val="both"/>
        <w:textAlignment w:val="auto"/>
        <w:outlineLvl w:val="0"/>
        <w:rPr>
          <w:rFonts w:hint="eastAsia" w:asciiTheme="minorEastAsia" w:hAnsiTheme="minorEastAsia" w:eastAsiaTheme="minorEastAsia" w:cstheme="minorEastAsia"/>
          <w:b w:val="0"/>
          <w:bCs/>
          <w:color w:val="auto"/>
          <w:sz w:val="24"/>
          <w:szCs w:val="24"/>
          <w:lang w:eastAsia="zh-CN"/>
        </w:rPr>
      </w:pPr>
      <w:r>
        <w:rPr>
          <w:rFonts w:hint="eastAsia" w:asciiTheme="minorEastAsia" w:hAnsiTheme="minorEastAsia" w:eastAsiaTheme="minorEastAsia" w:cstheme="minorEastAsia"/>
          <w:b w:val="0"/>
          <w:bCs/>
          <w:color w:val="auto"/>
          <w:sz w:val="24"/>
          <w:szCs w:val="24"/>
        </w:rPr>
        <w:t>4、对春花植物的花后整形修剪，应选在叶芽开始膨大尚未萌发时进行，花后追肥施以氨为主的肥料</w:t>
      </w:r>
      <w:r>
        <w:rPr>
          <w:rFonts w:hint="eastAsia" w:asciiTheme="minorEastAsia" w:hAnsiTheme="minorEastAsia" w:eastAsiaTheme="minorEastAsia" w:cstheme="minorEastAsia"/>
          <w:b w:val="0"/>
          <w:bCs/>
          <w:color w:val="auto"/>
          <w:sz w:val="24"/>
          <w:szCs w:val="24"/>
          <w:lang w:eastAsia="zh-CN"/>
        </w:rPr>
        <w:t>。</w:t>
      </w:r>
    </w:p>
    <w:p>
      <w:pPr>
        <w:keepNext w:val="0"/>
        <w:keepLines w:val="0"/>
        <w:pageBreakBefore w:val="0"/>
        <w:kinsoku/>
        <w:wordWrap/>
        <w:overflowPunct/>
        <w:topLinePunct w:val="0"/>
        <w:autoSpaceDE/>
        <w:autoSpaceDN/>
        <w:bidi w:val="0"/>
        <w:adjustRightInd w:val="0"/>
        <w:snapToGrid w:val="0"/>
        <w:spacing w:line="560" w:lineRule="exact"/>
        <w:ind w:left="420" w:leftChars="200"/>
        <w:jc w:val="both"/>
        <w:textAlignment w:val="auto"/>
        <w:outlineLvl w:val="0"/>
        <w:rPr>
          <w:rFonts w:hint="eastAsia" w:asciiTheme="minorEastAsia" w:hAnsiTheme="minorEastAsia" w:eastAsiaTheme="minorEastAsia" w:cstheme="minorEastAsia"/>
          <w:b w:val="0"/>
          <w:bCs/>
          <w:color w:val="auto"/>
          <w:sz w:val="24"/>
          <w:szCs w:val="24"/>
          <w:lang w:eastAsia="zh-CN"/>
        </w:rPr>
      </w:pPr>
      <w:r>
        <w:rPr>
          <w:rFonts w:hint="eastAsia" w:asciiTheme="minorEastAsia" w:hAnsiTheme="minorEastAsia" w:eastAsiaTheme="minorEastAsia" w:cstheme="minorEastAsia"/>
          <w:b w:val="0"/>
          <w:bCs/>
          <w:color w:val="auto"/>
          <w:sz w:val="24"/>
          <w:szCs w:val="24"/>
        </w:rPr>
        <w:t>5、中耕除草，抗旱排涝</w:t>
      </w:r>
      <w:r>
        <w:rPr>
          <w:rFonts w:hint="eastAsia" w:asciiTheme="minorEastAsia" w:hAnsiTheme="minorEastAsia" w:eastAsiaTheme="minorEastAsia" w:cstheme="minorEastAsia"/>
          <w:b w:val="0"/>
          <w:bCs/>
          <w:color w:val="auto"/>
          <w:sz w:val="24"/>
          <w:szCs w:val="24"/>
          <w:lang w:eastAsia="zh-CN"/>
        </w:rPr>
        <w:t>。</w:t>
      </w:r>
    </w:p>
    <w:p>
      <w:pPr>
        <w:keepNext w:val="0"/>
        <w:keepLines w:val="0"/>
        <w:pageBreakBefore w:val="0"/>
        <w:kinsoku/>
        <w:wordWrap/>
        <w:overflowPunct/>
        <w:topLinePunct w:val="0"/>
        <w:autoSpaceDE/>
        <w:autoSpaceDN/>
        <w:bidi w:val="0"/>
        <w:adjustRightInd w:val="0"/>
        <w:snapToGrid w:val="0"/>
        <w:spacing w:line="560" w:lineRule="exact"/>
        <w:ind w:left="420" w:leftChars="200"/>
        <w:jc w:val="both"/>
        <w:textAlignment w:val="auto"/>
        <w:outlineLvl w:val="0"/>
        <w:rPr>
          <w:rFonts w:hint="eastAsia" w:asciiTheme="minorEastAsia" w:hAnsiTheme="minorEastAsia" w:eastAsiaTheme="minorEastAsia" w:cstheme="minorEastAsia"/>
          <w:b w:val="0"/>
          <w:bCs/>
          <w:color w:val="auto"/>
          <w:sz w:val="24"/>
          <w:szCs w:val="24"/>
          <w:lang w:eastAsia="zh-CN"/>
        </w:rPr>
      </w:pPr>
      <w:r>
        <w:rPr>
          <w:rFonts w:hint="eastAsia" w:asciiTheme="minorEastAsia" w:hAnsiTheme="minorEastAsia" w:eastAsiaTheme="minorEastAsia" w:cstheme="minorEastAsia"/>
          <w:b w:val="0"/>
          <w:bCs/>
          <w:color w:val="auto"/>
          <w:sz w:val="24"/>
          <w:szCs w:val="24"/>
        </w:rPr>
        <w:t>6、防治病虫害，提早进行预防喷药，病虫害发生及时采取应对措施</w:t>
      </w:r>
      <w:r>
        <w:rPr>
          <w:rFonts w:hint="eastAsia" w:asciiTheme="minorEastAsia" w:hAnsiTheme="minorEastAsia" w:eastAsiaTheme="minorEastAsia" w:cstheme="minorEastAsia"/>
          <w:b w:val="0"/>
          <w:bCs/>
          <w:color w:val="auto"/>
          <w:sz w:val="24"/>
          <w:szCs w:val="24"/>
          <w:lang w:eastAsia="zh-CN"/>
        </w:rPr>
        <w:t>。</w:t>
      </w:r>
    </w:p>
    <w:p>
      <w:pPr>
        <w:keepNext w:val="0"/>
        <w:keepLines w:val="0"/>
        <w:pageBreakBefore w:val="0"/>
        <w:kinsoku/>
        <w:wordWrap/>
        <w:overflowPunct/>
        <w:topLinePunct w:val="0"/>
        <w:autoSpaceDE/>
        <w:autoSpaceDN/>
        <w:bidi w:val="0"/>
        <w:adjustRightInd w:val="0"/>
        <w:snapToGrid w:val="0"/>
        <w:spacing w:line="560" w:lineRule="exact"/>
        <w:ind w:left="420" w:leftChars="200"/>
        <w:jc w:val="both"/>
        <w:textAlignment w:val="auto"/>
        <w:outlineLvl w:val="0"/>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7、做好例行的整形修剪工作。</w:t>
      </w:r>
    </w:p>
    <w:p>
      <w:pPr>
        <w:keepNext w:val="0"/>
        <w:keepLines w:val="0"/>
        <w:pageBreakBefore w:val="0"/>
        <w:kinsoku/>
        <w:wordWrap/>
        <w:overflowPunct/>
        <w:topLinePunct w:val="0"/>
        <w:autoSpaceDE/>
        <w:autoSpaceDN/>
        <w:bidi w:val="0"/>
        <w:adjustRightInd w:val="0"/>
        <w:snapToGrid w:val="0"/>
        <w:spacing w:line="560" w:lineRule="exact"/>
        <w:ind w:left="420" w:leftChars="200"/>
        <w:jc w:val="both"/>
        <w:textAlignment w:val="auto"/>
        <w:outlineLvl w:val="0"/>
        <w:rPr>
          <w:rFonts w:hint="eastAsia" w:asciiTheme="minorEastAsia" w:hAnsiTheme="minorEastAsia" w:eastAsiaTheme="minorEastAsia" w:cstheme="minorEastAsia"/>
          <w:b/>
          <w:bCs w:val="0"/>
          <w:color w:val="auto"/>
          <w:sz w:val="24"/>
          <w:szCs w:val="24"/>
        </w:rPr>
      </w:pPr>
      <w:r>
        <w:rPr>
          <w:rFonts w:hint="eastAsia" w:asciiTheme="minorEastAsia" w:hAnsiTheme="minorEastAsia" w:eastAsiaTheme="minorEastAsia" w:cstheme="minorEastAsia"/>
          <w:b/>
          <w:bCs w:val="0"/>
          <w:color w:val="auto"/>
          <w:sz w:val="24"/>
          <w:szCs w:val="24"/>
        </w:rPr>
        <w:t>夏</w:t>
      </w:r>
      <w:r>
        <w:rPr>
          <w:rFonts w:hint="eastAsia" w:asciiTheme="minorEastAsia" w:hAnsiTheme="minorEastAsia" w:eastAsiaTheme="minorEastAsia" w:cstheme="minorEastAsia"/>
          <w:b/>
          <w:bCs w:val="0"/>
          <w:color w:val="auto"/>
          <w:sz w:val="24"/>
          <w:szCs w:val="24"/>
          <w:lang w:val="en-US" w:eastAsia="zh-CN"/>
        </w:rPr>
        <w:t>季</w:t>
      </w:r>
      <w:r>
        <w:rPr>
          <w:rFonts w:hint="eastAsia" w:asciiTheme="minorEastAsia" w:hAnsiTheme="minorEastAsia" w:eastAsiaTheme="minorEastAsia" w:cstheme="minorEastAsia"/>
          <w:b/>
          <w:bCs w:val="0"/>
          <w:color w:val="auto"/>
          <w:sz w:val="24"/>
          <w:szCs w:val="24"/>
        </w:rPr>
        <w:t>:</w:t>
      </w:r>
    </w:p>
    <w:p>
      <w:pPr>
        <w:keepNext w:val="0"/>
        <w:keepLines w:val="0"/>
        <w:pageBreakBefore w:val="0"/>
        <w:kinsoku/>
        <w:wordWrap/>
        <w:overflowPunct/>
        <w:topLinePunct w:val="0"/>
        <w:autoSpaceDE/>
        <w:autoSpaceDN/>
        <w:bidi w:val="0"/>
        <w:adjustRightInd w:val="0"/>
        <w:snapToGrid w:val="0"/>
        <w:spacing w:line="560" w:lineRule="exact"/>
        <w:ind w:left="420" w:leftChars="200"/>
        <w:jc w:val="both"/>
        <w:textAlignment w:val="auto"/>
        <w:outlineLvl w:val="0"/>
        <w:rPr>
          <w:rFonts w:hint="eastAsia" w:asciiTheme="minorEastAsia" w:hAnsiTheme="minorEastAsia" w:eastAsiaTheme="minorEastAsia" w:cstheme="minorEastAsia"/>
          <w:b w:val="0"/>
          <w:bCs/>
          <w:color w:val="auto"/>
          <w:sz w:val="24"/>
          <w:szCs w:val="24"/>
          <w:lang w:eastAsia="zh-CN"/>
        </w:rPr>
      </w:pPr>
      <w:r>
        <w:rPr>
          <w:rFonts w:hint="eastAsia" w:asciiTheme="minorEastAsia" w:hAnsiTheme="minorEastAsia" w:eastAsiaTheme="minorEastAsia" w:cstheme="minorEastAsia"/>
          <w:b w:val="0"/>
          <w:bCs/>
          <w:color w:val="auto"/>
          <w:sz w:val="24"/>
          <w:szCs w:val="24"/>
        </w:rPr>
        <w:t>1、抓紧抗旱排涝工作，结合浇水适当施肥</w:t>
      </w:r>
      <w:r>
        <w:rPr>
          <w:rFonts w:hint="eastAsia" w:asciiTheme="minorEastAsia" w:hAnsiTheme="minorEastAsia" w:eastAsiaTheme="minorEastAsia" w:cstheme="minorEastAsia"/>
          <w:b w:val="0"/>
          <w:bCs/>
          <w:color w:val="auto"/>
          <w:sz w:val="24"/>
          <w:szCs w:val="24"/>
          <w:lang w:eastAsia="zh-CN"/>
        </w:rPr>
        <w:t>。</w:t>
      </w:r>
    </w:p>
    <w:p>
      <w:pPr>
        <w:keepNext w:val="0"/>
        <w:keepLines w:val="0"/>
        <w:pageBreakBefore w:val="0"/>
        <w:kinsoku/>
        <w:wordWrap/>
        <w:overflowPunct/>
        <w:topLinePunct w:val="0"/>
        <w:autoSpaceDE/>
        <w:autoSpaceDN/>
        <w:bidi w:val="0"/>
        <w:adjustRightInd w:val="0"/>
        <w:snapToGrid w:val="0"/>
        <w:spacing w:line="560" w:lineRule="exact"/>
        <w:ind w:left="420" w:leftChars="200"/>
        <w:jc w:val="left"/>
        <w:textAlignment w:val="auto"/>
        <w:outlineLvl w:val="0"/>
        <w:rPr>
          <w:rFonts w:hint="eastAsia" w:asciiTheme="minorEastAsia" w:hAnsiTheme="minorEastAsia" w:eastAsiaTheme="minorEastAsia" w:cstheme="minorEastAsia"/>
          <w:b w:val="0"/>
          <w:bCs/>
          <w:color w:val="auto"/>
          <w:sz w:val="24"/>
          <w:szCs w:val="24"/>
          <w:lang w:eastAsia="zh-CN"/>
        </w:rPr>
      </w:pPr>
      <w:r>
        <w:rPr>
          <w:rFonts w:hint="eastAsia" w:asciiTheme="minorEastAsia" w:hAnsiTheme="minorEastAsia" w:eastAsiaTheme="minorEastAsia" w:cstheme="minorEastAsia"/>
          <w:b w:val="0"/>
          <w:bCs/>
          <w:color w:val="auto"/>
          <w:sz w:val="24"/>
          <w:szCs w:val="24"/>
        </w:rPr>
        <w:t>2、紫薇、夏杜、大叶栀子花等夏花植物的花前花后施肥修剪工作，及时剪除残花，节约养分</w:t>
      </w:r>
      <w:r>
        <w:rPr>
          <w:rFonts w:hint="eastAsia" w:asciiTheme="minorEastAsia" w:hAnsiTheme="minorEastAsia" w:eastAsiaTheme="minorEastAsia" w:cstheme="minorEastAsia"/>
          <w:b w:val="0"/>
          <w:bCs/>
          <w:color w:val="auto"/>
          <w:sz w:val="24"/>
          <w:szCs w:val="24"/>
          <w:lang w:eastAsia="zh-CN"/>
        </w:rPr>
        <w:t>。</w:t>
      </w:r>
    </w:p>
    <w:p>
      <w:pPr>
        <w:keepNext w:val="0"/>
        <w:keepLines w:val="0"/>
        <w:pageBreakBefore w:val="0"/>
        <w:kinsoku/>
        <w:wordWrap/>
        <w:overflowPunct/>
        <w:topLinePunct w:val="0"/>
        <w:autoSpaceDE/>
        <w:autoSpaceDN/>
        <w:bidi w:val="0"/>
        <w:adjustRightInd w:val="0"/>
        <w:snapToGrid w:val="0"/>
        <w:spacing w:line="560" w:lineRule="exact"/>
        <w:ind w:left="420" w:leftChars="200"/>
        <w:jc w:val="both"/>
        <w:textAlignment w:val="auto"/>
        <w:outlineLvl w:val="0"/>
        <w:rPr>
          <w:rFonts w:hint="eastAsia" w:asciiTheme="minorEastAsia" w:hAnsiTheme="minorEastAsia" w:eastAsiaTheme="minorEastAsia" w:cstheme="minorEastAsia"/>
          <w:b w:val="0"/>
          <w:bCs/>
          <w:color w:val="auto"/>
          <w:sz w:val="24"/>
          <w:szCs w:val="24"/>
          <w:lang w:eastAsia="zh-CN"/>
        </w:rPr>
      </w:pPr>
      <w:r>
        <w:rPr>
          <w:rFonts w:hint="eastAsia" w:asciiTheme="minorEastAsia" w:hAnsiTheme="minorEastAsia" w:eastAsiaTheme="minorEastAsia" w:cstheme="minorEastAsia"/>
          <w:b w:val="0"/>
          <w:bCs/>
          <w:color w:val="auto"/>
          <w:sz w:val="24"/>
          <w:szCs w:val="24"/>
        </w:rPr>
        <w:t>3、高温高湿注意防治病虫害的发生，提早预防，及时喷药</w:t>
      </w:r>
      <w:r>
        <w:rPr>
          <w:rFonts w:hint="eastAsia" w:asciiTheme="minorEastAsia" w:hAnsiTheme="minorEastAsia" w:eastAsiaTheme="minorEastAsia" w:cstheme="minorEastAsia"/>
          <w:b w:val="0"/>
          <w:bCs/>
          <w:color w:val="auto"/>
          <w:sz w:val="24"/>
          <w:szCs w:val="24"/>
          <w:lang w:eastAsia="zh-CN"/>
        </w:rPr>
        <w:t>。</w:t>
      </w:r>
    </w:p>
    <w:p>
      <w:pPr>
        <w:keepNext w:val="0"/>
        <w:keepLines w:val="0"/>
        <w:pageBreakBefore w:val="0"/>
        <w:kinsoku/>
        <w:wordWrap/>
        <w:overflowPunct/>
        <w:topLinePunct w:val="0"/>
        <w:autoSpaceDE/>
        <w:autoSpaceDN/>
        <w:bidi w:val="0"/>
        <w:adjustRightInd w:val="0"/>
        <w:snapToGrid w:val="0"/>
        <w:spacing w:line="560" w:lineRule="exact"/>
        <w:ind w:left="420" w:leftChars="200"/>
        <w:jc w:val="both"/>
        <w:textAlignment w:val="auto"/>
        <w:outlineLvl w:val="0"/>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4、修剪整形以整齐美观为主。</w:t>
      </w:r>
    </w:p>
    <w:p>
      <w:pPr>
        <w:keepNext w:val="0"/>
        <w:keepLines w:val="0"/>
        <w:pageBreakBefore w:val="0"/>
        <w:kinsoku/>
        <w:wordWrap/>
        <w:overflowPunct/>
        <w:topLinePunct w:val="0"/>
        <w:autoSpaceDE/>
        <w:autoSpaceDN/>
        <w:bidi w:val="0"/>
        <w:adjustRightInd w:val="0"/>
        <w:snapToGrid w:val="0"/>
        <w:spacing w:line="560" w:lineRule="exact"/>
        <w:ind w:left="420" w:leftChars="200"/>
        <w:jc w:val="both"/>
        <w:textAlignment w:val="auto"/>
        <w:outlineLvl w:val="0"/>
        <w:rPr>
          <w:rFonts w:hint="eastAsia" w:asciiTheme="minorEastAsia" w:hAnsiTheme="minorEastAsia" w:eastAsiaTheme="minorEastAsia" w:cstheme="minorEastAsia"/>
          <w:b/>
          <w:bCs w:val="0"/>
          <w:color w:val="auto"/>
          <w:sz w:val="24"/>
          <w:szCs w:val="24"/>
        </w:rPr>
      </w:pPr>
      <w:r>
        <w:rPr>
          <w:rFonts w:hint="eastAsia" w:asciiTheme="minorEastAsia" w:hAnsiTheme="minorEastAsia" w:eastAsiaTheme="minorEastAsia" w:cstheme="minorEastAsia"/>
          <w:b/>
          <w:bCs w:val="0"/>
          <w:color w:val="auto"/>
          <w:sz w:val="24"/>
          <w:szCs w:val="24"/>
        </w:rPr>
        <w:t>秋</w:t>
      </w:r>
      <w:r>
        <w:rPr>
          <w:rFonts w:hint="eastAsia" w:asciiTheme="minorEastAsia" w:hAnsiTheme="minorEastAsia" w:eastAsiaTheme="minorEastAsia" w:cstheme="minorEastAsia"/>
          <w:b/>
          <w:bCs w:val="0"/>
          <w:color w:val="auto"/>
          <w:sz w:val="24"/>
          <w:szCs w:val="24"/>
          <w:lang w:val="en-US" w:eastAsia="zh-CN"/>
        </w:rPr>
        <w:t>季</w:t>
      </w:r>
      <w:r>
        <w:rPr>
          <w:rFonts w:hint="eastAsia" w:asciiTheme="minorEastAsia" w:hAnsiTheme="minorEastAsia" w:eastAsiaTheme="minorEastAsia" w:cstheme="minorEastAsia"/>
          <w:b/>
          <w:bCs w:val="0"/>
          <w:color w:val="auto"/>
          <w:sz w:val="24"/>
          <w:szCs w:val="24"/>
        </w:rPr>
        <w:t>:</w:t>
      </w:r>
    </w:p>
    <w:p>
      <w:pPr>
        <w:keepNext w:val="0"/>
        <w:keepLines w:val="0"/>
        <w:pageBreakBefore w:val="0"/>
        <w:kinsoku/>
        <w:wordWrap/>
        <w:overflowPunct/>
        <w:topLinePunct w:val="0"/>
        <w:autoSpaceDE/>
        <w:autoSpaceDN/>
        <w:bidi w:val="0"/>
        <w:adjustRightInd w:val="0"/>
        <w:snapToGrid w:val="0"/>
        <w:spacing w:line="560" w:lineRule="exact"/>
        <w:ind w:left="420" w:leftChars="200"/>
        <w:jc w:val="both"/>
        <w:textAlignment w:val="auto"/>
        <w:outlineLvl w:val="0"/>
        <w:rPr>
          <w:rFonts w:hint="eastAsia" w:asciiTheme="minorEastAsia" w:hAnsiTheme="minorEastAsia" w:eastAsiaTheme="minorEastAsia" w:cstheme="minorEastAsia"/>
          <w:b w:val="0"/>
          <w:bCs/>
          <w:color w:val="auto"/>
          <w:sz w:val="24"/>
          <w:szCs w:val="24"/>
          <w:lang w:eastAsia="zh-CN"/>
        </w:rPr>
      </w:pPr>
      <w:r>
        <w:rPr>
          <w:rFonts w:hint="eastAsia" w:asciiTheme="minorEastAsia" w:hAnsiTheme="minorEastAsia" w:eastAsiaTheme="minorEastAsia" w:cstheme="minorEastAsia"/>
          <w:b w:val="0"/>
          <w:bCs/>
          <w:color w:val="auto"/>
          <w:sz w:val="24"/>
          <w:szCs w:val="24"/>
        </w:rPr>
        <w:t>1、继续做好抗早排涝工作及病虫害防治工作</w:t>
      </w:r>
      <w:r>
        <w:rPr>
          <w:rFonts w:hint="eastAsia" w:asciiTheme="minorEastAsia" w:hAnsiTheme="minorEastAsia" w:eastAsiaTheme="minorEastAsia" w:cstheme="minorEastAsia"/>
          <w:b w:val="0"/>
          <w:bCs/>
          <w:color w:val="auto"/>
          <w:sz w:val="24"/>
          <w:szCs w:val="24"/>
          <w:lang w:eastAsia="zh-CN"/>
        </w:rPr>
        <w:t>。</w:t>
      </w:r>
    </w:p>
    <w:p>
      <w:pPr>
        <w:keepNext w:val="0"/>
        <w:keepLines w:val="0"/>
        <w:pageBreakBefore w:val="0"/>
        <w:kinsoku/>
        <w:wordWrap/>
        <w:overflowPunct/>
        <w:topLinePunct w:val="0"/>
        <w:autoSpaceDE/>
        <w:autoSpaceDN/>
        <w:bidi w:val="0"/>
        <w:adjustRightInd w:val="0"/>
        <w:snapToGrid w:val="0"/>
        <w:spacing w:line="560" w:lineRule="exact"/>
        <w:ind w:left="420" w:leftChars="200"/>
        <w:jc w:val="both"/>
        <w:textAlignment w:val="auto"/>
        <w:outlineLvl w:val="0"/>
        <w:rPr>
          <w:rFonts w:hint="eastAsia" w:asciiTheme="minorEastAsia" w:hAnsiTheme="minorEastAsia" w:eastAsiaTheme="minorEastAsia" w:cstheme="minorEastAsia"/>
          <w:b w:val="0"/>
          <w:bCs/>
          <w:color w:val="auto"/>
          <w:sz w:val="24"/>
          <w:szCs w:val="24"/>
          <w:lang w:eastAsia="zh-CN"/>
        </w:rPr>
      </w:pPr>
      <w:r>
        <w:rPr>
          <w:rFonts w:hint="eastAsia" w:asciiTheme="minorEastAsia" w:hAnsiTheme="minorEastAsia" w:eastAsiaTheme="minorEastAsia" w:cstheme="minorEastAsia"/>
          <w:b w:val="0"/>
          <w:bCs/>
          <w:color w:val="auto"/>
          <w:sz w:val="24"/>
          <w:szCs w:val="24"/>
        </w:rPr>
        <w:t>2、整理除杂，做到植</w:t>
      </w:r>
      <w:r>
        <w:rPr>
          <w:rFonts w:hint="eastAsia" w:asciiTheme="minorEastAsia" w:hAnsiTheme="minorEastAsia" w:eastAsiaTheme="minorEastAsia" w:cstheme="minorEastAsia"/>
          <w:b w:val="0"/>
          <w:bCs/>
          <w:color w:val="auto"/>
          <w:sz w:val="24"/>
          <w:szCs w:val="24"/>
          <w:lang w:val="en-US" w:eastAsia="zh-CN"/>
        </w:rPr>
        <w:t>物青</w:t>
      </w:r>
      <w:r>
        <w:rPr>
          <w:rFonts w:hint="eastAsia" w:asciiTheme="minorEastAsia" w:hAnsiTheme="minorEastAsia" w:eastAsiaTheme="minorEastAsia" w:cstheme="minorEastAsia"/>
          <w:b w:val="0"/>
          <w:bCs/>
          <w:color w:val="auto"/>
          <w:sz w:val="24"/>
          <w:szCs w:val="24"/>
        </w:rPr>
        <w:t>枝绿叶，干净整齐</w:t>
      </w:r>
      <w:r>
        <w:rPr>
          <w:rFonts w:hint="eastAsia" w:asciiTheme="minorEastAsia" w:hAnsiTheme="minorEastAsia" w:eastAsiaTheme="minorEastAsia" w:cstheme="minorEastAsia"/>
          <w:b w:val="0"/>
          <w:bCs/>
          <w:color w:val="auto"/>
          <w:sz w:val="24"/>
          <w:szCs w:val="24"/>
          <w:lang w:eastAsia="zh-CN"/>
        </w:rPr>
        <w:t>。</w:t>
      </w:r>
    </w:p>
    <w:p>
      <w:pPr>
        <w:keepNext w:val="0"/>
        <w:keepLines w:val="0"/>
        <w:pageBreakBefore w:val="0"/>
        <w:kinsoku/>
        <w:wordWrap/>
        <w:overflowPunct/>
        <w:topLinePunct w:val="0"/>
        <w:autoSpaceDE/>
        <w:autoSpaceDN/>
        <w:bidi w:val="0"/>
        <w:adjustRightInd w:val="0"/>
        <w:snapToGrid w:val="0"/>
        <w:spacing w:line="560" w:lineRule="exact"/>
        <w:ind w:left="420" w:leftChars="200"/>
        <w:jc w:val="both"/>
        <w:textAlignment w:val="auto"/>
        <w:outlineLvl w:val="0"/>
        <w:rPr>
          <w:rFonts w:hint="eastAsia" w:asciiTheme="minorEastAsia" w:hAnsiTheme="minorEastAsia" w:eastAsiaTheme="minorEastAsia" w:cstheme="minorEastAsia"/>
          <w:b w:val="0"/>
          <w:bCs/>
          <w:color w:val="auto"/>
          <w:sz w:val="24"/>
          <w:szCs w:val="24"/>
          <w:lang w:eastAsia="zh-CN"/>
        </w:rPr>
      </w:pPr>
      <w:r>
        <w:rPr>
          <w:rFonts w:hint="eastAsia" w:asciiTheme="minorEastAsia" w:hAnsiTheme="minorEastAsia" w:eastAsiaTheme="minorEastAsia" w:cstheme="minorEastAsia"/>
          <w:b w:val="0"/>
          <w:bCs/>
          <w:color w:val="auto"/>
          <w:sz w:val="24"/>
          <w:szCs w:val="24"/>
        </w:rPr>
        <w:t>3、清除死树，进行秋季补植工作</w:t>
      </w:r>
      <w:r>
        <w:rPr>
          <w:rFonts w:hint="eastAsia" w:asciiTheme="minorEastAsia" w:hAnsiTheme="minorEastAsia" w:eastAsiaTheme="minorEastAsia" w:cstheme="minorEastAsia"/>
          <w:b w:val="0"/>
          <w:bCs/>
          <w:color w:val="auto"/>
          <w:sz w:val="24"/>
          <w:szCs w:val="24"/>
          <w:lang w:eastAsia="zh-CN"/>
        </w:rPr>
        <w:t>。</w:t>
      </w:r>
    </w:p>
    <w:p>
      <w:pPr>
        <w:keepNext w:val="0"/>
        <w:keepLines w:val="0"/>
        <w:pageBreakBefore w:val="0"/>
        <w:kinsoku/>
        <w:wordWrap/>
        <w:overflowPunct/>
        <w:topLinePunct w:val="0"/>
        <w:autoSpaceDE/>
        <w:autoSpaceDN/>
        <w:bidi w:val="0"/>
        <w:adjustRightInd w:val="0"/>
        <w:snapToGrid w:val="0"/>
        <w:spacing w:line="560" w:lineRule="exact"/>
        <w:ind w:left="420" w:leftChars="200"/>
        <w:jc w:val="both"/>
        <w:textAlignment w:val="auto"/>
        <w:outlineLvl w:val="0"/>
        <w:rPr>
          <w:rFonts w:hint="eastAsia" w:asciiTheme="minorEastAsia" w:hAnsiTheme="minorEastAsia" w:eastAsiaTheme="minorEastAsia" w:cstheme="minorEastAsia"/>
          <w:b w:val="0"/>
          <w:bCs/>
          <w:color w:val="auto"/>
          <w:sz w:val="24"/>
          <w:szCs w:val="24"/>
          <w:lang w:eastAsia="zh-CN"/>
        </w:rPr>
      </w:pPr>
      <w:r>
        <w:rPr>
          <w:rFonts w:hint="eastAsia" w:asciiTheme="minorEastAsia" w:hAnsiTheme="minorEastAsia" w:eastAsiaTheme="minorEastAsia" w:cstheme="minorEastAsia"/>
          <w:b w:val="0"/>
          <w:bCs/>
          <w:color w:val="auto"/>
          <w:sz w:val="24"/>
          <w:szCs w:val="24"/>
        </w:rPr>
        <w:t>4、秋花植物花前花后的修剪施肥</w:t>
      </w:r>
      <w:r>
        <w:rPr>
          <w:rFonts w:hint="eastAsia" w:asciiTheme="minorEastAsia" w:hAnsiTheme="minorEastAsia" w:eastAsiaTheme="minorEastAsia" w:cstheme="minorEastAsia"/>
          <w:b w:val="0"/>
          <w:bCs/>
          <w:color w:val="auto"/>
          <w:sz w:val="24"/>
          <w:szCs w:val="24"/>
          <w:lang w:eastAsia="zh-CN"/>
        </w:rPr>
        <w:t>。</w:t>
      </w:r>
    </w:p>
    <w:p>
      <w:pPr>
        <w:keepNext w:val="0"/>
        <w:keepLines w:val="0"/>
        <w:pageBreakBefore w:val="0"/>
        <w:kinsoku/>
        <w:wordWrap/>
        <w:overflowPunct/>
        <w:topLinePunct w:val="0"/>
        <w:autoSpaceDE/>
        <w:autoSpaceDN/>
        <w:bidi w:val="0"/>
        <w:adjustRightInd w:val="0"/>
        <w:snapToGrid w:val="0"/>
        <w:spacing w:line="560" w:lineRule="exact"/>
        <w:ind w:left="420" w:leftChars="200"/>
        <w:jc w:val="both"/>
        <w:textAlignment w:val="auto"/>
        <w:outlineLvl w:val="0"/>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5、大量收集落叶杂草积肥和沤制堆肥，沤制好菜枯肥，做冬季施肥的准备。</w:t>
      </w:r>
    </w:p>
    <w:p>
      <w:pPr>
        <w:keepNext w:val="0"/>
        <w:keepLines w:val="0"/>
        <w:pageBreakBefore w:val="0"/>
        <w:kinsoku/>
        <w:wordWrap/>
        <w:overflowPunct/>
        <w:topLinePunct w:val="0"/>
        <w:autoSpaceDE/>
        <w:autoSpaceDN/>
        <w:bidi w:val="0"/>
        <w:adjustRightInd w:val="0"/>
        <w:snapToGrid w:val="0"/>
        <w:spacing w:line="560" w:lineRule="exact"/>
        <w:ind w:left="420" w:leftChars="200"/>
        <w:jc w:val="left"/>
        <w:textAlignment w:val="auto"/>
        <w:outlineLvl w:val="0"/>
        <w:rPr>
          <w:rFonts w:hint="eastAsia" w:asciiTheme="minorEastAsia" w:hAnsiTheme="minorEastAsia" w:eastAsiaTheme="minorEastAsia" w:cstheme="minorEastAsia"/>
          <w:b w:val="0"/>
          <w:bCs/>
          <w:color w:val="auto"/>
          <w:sz w:val="24"/>
          <w:szCs w:val="24"/>
          <w:lang w:eastAsia="zh-CN"/>
        </w:rPr>
      </w:pPr>
      <w:r>
        <w:rPr>
          <w:rFonts w:hint="eastAsia" w:asciiTheme="minorEastAsia" w:hAnsiTheme="minorEastAsia" w:eastAsiaTheme="minorEastAsia" w:cstheme="minorEastAsia"/>
          <w:b/>
          <w:bCs w:val="0"/>
          <w:color w:val="auto"/>
          <w:sz w:val="24"/>
          <w:szCs w:val="24"/>
        </w:rPr>
        <w:t>冬</w:t>
      </w:r>
      <w:r>
        <w:rPr>
          <w:rFonts w:hint="eastAsia" w:asciiTheme="minorEastAsia" w:hAnsiTheme="minorEastAsia" w:eastAsiaTheme="minorEastAsia" w:cstheme="minorEastAsia"/>
          <w:b/>
          <w:bCs w:val="0"/>
          <w:color w:val="auto"/>
          <w:sz w:val="24"/>
          <w:szCs w:val="24"/>
          <w:lang w:val="en-US" w:eastAsia="zh-CN"/>
        </w:rPr>
        <w:t>季</w:t>
      </w:r>
      <w:r>
        <w:rPr>
          <w:rFonts w:hint="eastAsia" w:asciiTheme="minorEastAsia" w:hAnsiTheme="minorEastAsia" w:eastAsiaTheme="minorEastAsia" w:cstheme="minorEastAsia"/>
          <w:b w:val="0"/>
          <w:bCs/>
          <w:color w:val="auto"/>
          <w:sz w:val="24"/>
          <w:szCs w:val="24"/>
        </w:rPr>
        <w:t>:1、进行冬季整形修剪，修去病虫枝、徒长枝、过密枝、枯死枝及藤蔓寄生物，保持树形优美</w:t>
      </w:r>
      <w:r>
        <w:rPr>
          <w:rFonts w:hint="eastAsia" w:asciiTheme="minorEastAsia" w:hAnsiTheme="minorEastAsia" w:eastAsiaTheme="minorEastAsia" w:cstheme="minorEastAsia"/>
          <w:b w:val="0"/>
          <w:bCs/>
          <w:color w:val="auto"/>
          <w:sz w:val="24"/>
          <w:szCs w:val="24"/>
          <w:lang w:eastAsia="zh-CN"/>
        </w:rPr>
        <w:t>。</w:t>
      </w:r>
    </w:p>
    <w:p>
      <w:pPr>
        <w:keepNext w:val="0"/>
        <w:keepLines w:val="0"/>
        <w:pageBreakBefore w:val="0"/>
        <w:kinsoku/>
        <w:wordWrap/>
        <w:overflowPunct/>
        <w:topLinePunct w:val="0"/>
        <w:autoSpaceDE/>
        <w:autoSpaceDN/>
        <w:bidi w:val="0"/>
        <w:adjustRightInd w:val="0"/>
        <w:snapToGrid w:val="0"/>
        <w:spacing w:line="560" w:lineRule="exact"/>
        <w:ind w:left="420" w:leftChars="200"/>
        <w:jc w:val="both"/>
        <w:textAlignment w:val="auto"/>
        <w:outlineLvl w:val="0"/>
        <w:rPr>
          <w:rFonts w:hint="eastAsia" w:asciiTheme="minorEastAsia" w:hAnsiTheme="minorEastAsia" w:eastAsiaTheme="minorEastAsia" w:cstheme="minorEastAsia"/>
          <w:b w:val="0"/>
          <w:bCs/>
          <w:color w:val="auto"/>
          <w:sz w:val="24"/>
          <w:szCs w:val="24"/>
          <w:lang w:eastAsia="zh-CN"/>
        </w:rPr>
      </w:pPr>
      <w:r>
        <w:rPr>
          <w:rFonts w:hint="eastAsia" w:asciiTheme="minorEastAsia" w:hAnsiTheme="minorEastAsia" w:eastAsiaTheme="minorEastAsia" w:cstheme="minorEastAsia"/>
          <w:b w:val="0"/>
          <w:bCs/>
          <w:color w:val="auto"/>
          <w:sz w:val="24"/>
          <w:szCs w:val="24"/>
        </w:rPr>
        <w:t>2、冬翻土地，翻晒使虫卵死亡，施冬肥要深施、施足，以此改良土壤，使来年树木、花草生长迅速</w:t>
      </w:r>
      <w:r>
        <w:rPr>
          <w:rFonts w:hint="eastAsia" w:asciiTheme="minorEastAsia" w:hAnsiTheme="minorEastAsia" w:eastAsiaTheme="minorEastAsia" w:cstheme="minorEastAsia"/>
          <w:b w:val="0"/>
          <w:bCs/>
          <w:color w:val="auto"/>
          <w:sz w:val="24"/>
          <w:szCs w:val="24"/>
          <w:lang w:eastAsia="zh-CN"/>
        </w:rPr>
        <w:t>。</w:t>
      </w:r>
    </w:p>
    <w:p>
      <w:pPr>
        <w:keepNext w:val="0"/>
        <w:keepLines w:val="0"/>
        <w:pageBreakBefore w:val="0"/>
        <w:kinsoku/>
        <w:wordWrap/>
        <w:overflowPunct/>
        <w:topLinePunct w:val="0"/>
        <w:autoSpaceDE/>
        <w:autoSpaceDN/>
        <w:bidi w:val="0"/>
        <w:adjustRightInd w:val="0"/>
        <w:snapToGrid w:val="0"/>
        <w:spacing w:line="560" w:lineRule="exact"/>
        <w:ind w:left="420" w:leftChars="200"/>
        <w:jc w:val="both"/>
        <w:textAlignment w:val="auto"/>
        <w:outlineLvl w:val="0"/>
        <w:rPr>
          <w:rFonts w:hint="eastAsia" w:asciiTheme="minorEastAsia" w:hAnsiTheme="minorEastAsia" w:eastAsiaTheme="minorEastAsia" w:cstheme="minorEastAsia"/>
          <w:b w:val="0"/>
          <w:bCs/>
          <w:color w:val="auto"/>
          <w:sz w:val="24"/>
          <w:szCs w:val="24"/>
          <w:lang w:eastAsia="zh-CN"/>
        </w:rPr>
      </w:pPr>
      <w:r>
        <w:rPr>
          <w:rFonts w:hint="eastAsia" w:asciiTheme="minorEastAsia" w:hAnsiTheme="minorEastAsia" w:eastAsiaTheme="minorEastAsia" w:cstheme="minorEastAsia"/>
          <w:b w:val="0"/>
          <w:bCs/>
          <w:color w:val="auto"/>
          <w:sz w:val="24"/>
          <w:szCs w:val="24"/>
        </w:rPr>
        <w:t>3、做好防寒工作</w:t>
      </w:r>
      <w:r>
        <w:rPr>
          <w:rFonts w:hint="eastAsia" w:asciiTheme="minorEastAsia" w:hAnsiTheme="minorEastAsia" w:eastAsiaTheme="minorEastAsia" w:cstheme="minorEastAsia"/>
          <w:b w:val="0"/>
          <w:bCs/>
          <w:color w:val="auto"/>
          <w:sz w:val="24"/>
          <w:szCs w:val="24"/>
          <w:lang w:eastAsia="zh-CN"/>
        </w:rPr>
        <w:t>。</w:t>
      </w:r>
    </w:p>
    <w:p>
      <w:pPr>
        <w:keepNext w:val="0"/>
        <w:keepLines w:val="0"/>
        <w:pageBreakBefore w:val="0"/>
        <w:kinsoku/>
        <w:wordWrap/>
        <w:overflowPunct/>
        <w:topLinePunct w:val="0"/>
        <w:autoSpaceDE/>
        <w:autoSpaceDN/>
        <w:bidi w:val="0"/>
        <w:adjustRightInd w:val="0"/>
        <w:snapToGrid w:val="0"/>
        <w:spacing w:line="560" w:lineRule="exact"/>
        <w:ind w:left="420" w:leftChars="200"/>
        <w:jc w:val="both"/>
        <w:textAlignment w:val="auto"/>
        <w:outlineLvl w:val="0"/>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4、防治病虫害，消灭越冬虫包、虫茧和幼虫。</w:t>
      </w:r>
    </w:p>
    <w:p>
      <w:pPr>
        <w:keepNext w:val="0"/>
        <w:keepLines w:val="0"/>
        <w:pageBreakBefore w:val="0"/>
        <w:kinsoku/>
        <w:wordWrap/>
        <w:overflowPunct/>
        <w:topLinePunct w:val="0"/>
        <w:autoSpaceDE/>
        <w:autoSpaceDN/>
        <w:bidi w:val="0"/>
        <w:adjustRightInd w:val="0"/>
        <w:snapToGrid w:val="0"/>
        <w:spacing w:line="560" w:lineRule="exact"/>
        <w:ind w:left="420" w:leftChars="200"/>
        <w:jc w:val="both"/>
        <w:textAlignment w:val="auto"/>
        <w:outlineLvl w:val="0"/>
        <w:rPr>
          <w:rFonts w:hint="eastAsia" w:asciiTheme="minorEastAsia" w:hAnsiTheme="minorEastAsia" w:eastAsiaTheme="minorEastAsia" w:cstheme="minorEastAsia"/>
          <w:b/>
          <w:bCs w:val="0"/>
          <w:color w:val="auto"/>
          <w:sz w:val="24"/>
          <w:szCs w:val="24"/>
        </w:rPr>
      </w:pPr>
      <w:r>
        <w:rPr>
          <w:rFonts w:hint="eastAsia" w:asciiTheme="minorEastAsia" w:hAnsiTheme="minorEastAsia" w:eastAsiaTheme="minorEastAsia" w:cstheme="minorEastAsia"/>
          <w:b/>
          <w:bCs w:val="0"/>
          <w:color w:val="auto"/>
          <w:sz w:val="24"/>
          <w:szCs w:val="24"/>
        </w:rPr>
        <w:t>三、草皮养护</w:t>
      </w:r>
    </w:p>
    <w:p>
      <w:pPr>
        <w:keepNext w:val="0"/>
        <w:keepLines w:val="0"/>
        <w:pageBreakBefore w:val="0"/>
        <w:kinsoku/>
        <w:wordWrap/>
        <w:overflowPunct/>
        <w:topLinePunct w:val="0"/>
        <w:autoSpaceDE/>
        <w:autoSpaceDN/>
        <w:bidi w:val="0"/>
        <w:adjustRightInd w:val="0"/>
        <w:snapToGrid w:val="0"/>
        <w:spacing w:line="560" w:lineRule="exact"/>
        <w:ind w:left="420" w:leftChars="200"/>
        <w:jc w:val="both"/>
        <w:textAlignment w:val="auto"/>
        <w:outlineLvl w:val="0"/>
        <w:rPr>
          <w:rFonts w:hint="eastAsia" w:asciiTheme="minorEastAsia" w:hAnsiTheme="minorEastAsia" w:eastAsiaTheme="minorEastAsia" w:cstheme="minorEastAsia"/>
          <w:b/>
          <w:bCs w:val="0"/>
          <w:color w:val="auto"/>
          <w:sz w:val="24"/>
          <w:szCs w:val="24"/>
        </w:rPr>
      </w:pPr>
      <w:r>
        <w:rPr>
          <w:rFonts w:hint="eastAsia" w:asciiTheme="minorEastAsia" w:hAnsiTheme="minorEastAsia" w:eastAsiaTheme="minorEastAsia" w:cstheme="minorEastAsia"/>
          <w:b/>
          <w:bCs w:val="0"/>
          <w:color w:val="auto"/>
          <w:sz w:val="24"/>
          <w:szCs w:val="24"/>
        </w:rPr>
        <w:t>春</w:t>
      </w:r>
      <w:r>
        <w:rPr>
          <w:rFonts w:hint="eastAsia" w:asciiTheme="minorEastAsia" w:hAnsiTheme="minorEastAsia" w:eastAsiaTheme="minorEastAsia" w:cstheme="minorEastAsia"/>
          <w:b/>
          <w:bCs w:val="0"/>
          <w:color w:val="auto"/>
          <w:sz w:val="24"/>
          <w:szCs w:val="24"/>
          <w:lang w:val="en-US" w:eastAsia="zh-CN"/>
        </w:rPr>
        <w:t>季</w:t>
      </w:r>
      <w:r>
        <w:rPr>
          <w:rFonts w:hint="eastAsia" w:asciiTheme="minorEastAsia" w:hAnsiTheme="minorEastAsia" w:eastAsiaTheme="minorEastAsia" w:cstheme="minorEastAsia"/>
          <w:b/>
          <w:bCs w:val="0"/>
          <w:color w:val="auto"/>
          <w:sz w:val="24"/>
          <w:szCs w:val="24"/>
        </w:rPr>
        <w:t>:</w:t>
      </w:r>
    </w:p>
    <w:p>
      <w:pPr>
        <w:keepNext w:val="0"/>
        <w:keepLines w:val="0"/>
        <w:pageBreakBefore w:val="0"/>
        <w:kinsoku/>
        <w:wordWrap/>
        <w:overflowPunct/>
        <w:topLinePunct w:val="0"/>
        <w:autoSpaceDE/>
        <w:autoSpaceDN/>
        <w:bidi w:val="0"/>
        <w:adjustRightInd w:val="0"/>
        <w:snapToGrid w:val="0"/>
        <w:spacing w:line="560" w:lineRule="exact"/>
        <w:ind w:left="420" w:leftChars="200"/>
        <w:jc w:val="both"/>
        <w:textAlignment w:val="auto"/>
        <w:outlineLvl w:val="0"/>
        <w:rPr>
          <w:rFonts w:hint="eastAsia" w:asciiTheme="minorEastAsia" w:hAnsiTheme="minorEastAsia" w:eastAsiaTheme="minorEastAsia" w:cstheme="minorEastAsia"/>
          <w:b w:val="0"/>
          <w:bCs/>
          <w:color w:val="auto"/>
          <w:sz w:val="24"/>
          <w:szCs w:val="24"/>
          <w:lang w:eastAsia="zh-CN"/>
        </w:rPr>
      </w:pPr>
      <w:r>
        <w:rPr>
          <w:rFonts w:hint="eastAsia" w:asciiTheme="minorEastAsia" w:hAnsiTheme="minorEastAsia" w:eastAsiaTheme="minorEastAsia" w:cstheme="minorEastAsia"/>
          <w:b w:val="0"/>
          <w:bCs/>
          <w:color w:val="auto"/>
          <w:sz w:val="24"/>
          <w:szCs w:val="24"/>
        </w:rPr>
        <w:t>1、对已被破坏的草皮地段进行春季修复工作</w:t>
      </w:r>
      <w:r>
        <w:rPr>
          <w:rFonts w:hint="eastAsia" w:asciiTheme="minorEastAsia" w:hAnsiTheme="minorEastAsia" w:eastAsiaTheme="minorEastAsia" w:cstheme="minorEastAsia"/>
          <w:b w:val="0"/>
          <w:bCs/>
          <w:color w:val="auto"/>
          <w:sz w:val="24"/>
          <w:szCs w:val="24"/>
          <w:lang w:eastAsia="zh-CN"/>
        </w:rPr>
        <w:t>。</w:t>
      </w:r>
    </w:p>
    <w:p>
      <w:pPr>
        <w:keepNext w:val="0"/>
        <w:keepLines w:val="0"/>
        <w:pageBreakBefore w:val="0"/>
        <w:kinsoku/>
        <w:wordWrap/>
        <w:overflowPunct/>
        <w:topLinePunct w:val="0"/>
        <w:autoSpaceDE/>
        <w:autoSpaceDN/>
        <w:bidi w:val="0"/>
        <w:adjustRightInd w:val="0"/>
        <w:snapToGrid w:val="0"/>
        <w:spacing w:line="560" w:lineRule="exact"/>
        <w:ind w:left="420" w:leftChars="200"/>
        <w:jc w:val="both"/>
        <w:textAlignment w:val="auto"/>
        <w:outlineLvl w:val="0"/>
        <w:rPr>
          <w:rFonts w:hint="eastAsia" w:asciiTheme="minorEastAsia" w:hAnsiTheme="minorEastAsia" w:eastAsiaTheme="minorEastAsia" w:cstheme="minorEastAsia"/>
          <w:b w:val="0"/>
          <w:bCs/>
          <w:color w:val="auto"/>
          <w:sz w:val="24"/>
          <w:szCs w:val="24"/>
          <w:lang w:eastAsia="zh-CN"/>
        </w:rPr>
      </w:pPr>
      <w:r>
        <w:rPr>
          <w:rFonts w:hint="eastAsia" w:asciiTheme="minorEastAsia" w:hAnsiTheme="minorEastAsia" w:eastAsiaTheme="minorEastAsia" w:cstheme="minorEastAsia"/>
          <w:b w:val="0"/>
          <w:bCs/>
          <w:color w:val="auto"/>
          <w:sz w:val="24"/>
          <w:szCs w:val="24"/>
        </w:rPr>
        <w:t>2、用打孔或划破的方法增强草皮的透气性，促使草皮更新复壮</w:t>
      </w:r>
      <w:r>
        <w:rPr>
          <w:rFonts w:hint="eastAsia" w:asciiTheme="minorEastAsia" w:hAnsiTheme="minorEastAsia" w:eastAsiaTheme="minorEastAsia" w:cstheme="minorEastAsia"/>
          <w:b w:val="0"/>
          <w:bCs/>
          <w:color w:val="auto"/>
          <w:sz w:val="24"/>
          <w:szCs w:val="24"/>
          <w:lang w:eastAsia="zh-CN"/>
        </w:rPr>
        <w:t>。</w:t>
      </w:r>
    </w:p>
    <w:p>
      <w:pPr>
        <w:keepNext w:val="0"/>
        <w:keepLines w:val="0"/>
        <w:pageBreakBefore w:val="0"/>
        <w:kinsoku/>
        <w:wordWrap/>
        <w:overflowPunct/>
        <w:topLinePunct w:val="0"/>
        <w:autoSpaceDE/>
        <w:autoSpaceDN/>
        <w:bidi w:val="0"/>
        <w:adjustRightInd w:val="0"/>
        <w:snapToGrid w:val="0"/>
        <w:spacing w:line="560" w:lineRule="exact"/>
        <w:ind w:left="420" w:leftChars="200"/>
        <w:jc w:val="both"/>
        <w:textAlignment w:val="auto"/>
        <w:outlineLvl w:val="0"/>
        <w:rPr>
          <w:rFonts w:hint="eastAsia" w:asciiTheme="minorEastAsia" w:hAnsiTheme="minorEastAsia" w:eastAsiaTheme="minorEastAsia" w:cstheme="minorEastAsia"/>
          <w:b w:val="0"/>
          <w:bCs/>
          <w:color w:val="auto"/>
          <w:sz w:val="24"/>
          <w:szCs w:val="24"/>
          <w:lang w:eastAsia="zh-CN"/>
        </w:rPr>
      </w:pPr>
      <w:r>
        <w:rPr>
          <w:rFonts w:hint="eastAsia" w:asciiTheme="minorEastAsia" w:hAnsiTheme="minorEastAsia" w:eastAsiaTheme="minorEastAsia" w:cstheme="minorEastAsia"/>
          <w:b w:val="0"/>
          <w:bCs/>
          <w:color w:val="auto"/>
          <w:sz w:val="24"/>
          <w:szCs w:val="24"/>
        </w:rPr>
        <w:t>3、防治草皮病虫害，春季主要防治地老虎和草锈病、枯萎病</w:t>
      </w:r>
      <w:r>
        <w:rPr>
          <w:rFonts w:hint="eastAsia" w:asciiTheme="minorEastAsia" w:hAnsiTheme="minorEastAsia" w:eastAsiaTheme="minorEastAsia" w:cstheme="minorEastAsia"/>
          <w:b w:val="0"/>
          <w:bCs/>
          <w:color w:val="auto"/>
          <w:sz w:val="24"/>
          <w:szCs w:val="24"/>
          <w:lang w:eastAsia="zh-CN"/>
        </w:rPr>
        <w:t>。</w:t>
      </w:r>
    </w:p>
    <w:p>
      <w:pPr>
        <w:keepNext w:val="0"/>
        <w:keepLines w:val="0"/>
        <w:pageBreakBefore w:val="0"/>
        <w:kinsoku/>
        <w:wordWrap/>
        <w:overflowPunct/>
        <w:topLinePunct w:val="0"/>
        <w:autoSpaceDE/>
        <w:autoSpaceDN/>
        <w:bidi w:val="0"/>
        <w:adjustRightInd w:val="0"/>
        <w:snapToGrid w:val="0"/>
        <w:spacing w:line="560" w:lineRule="exact"/>
        <w:ind w:left="420" w:leftChars="200"/>
        <w:jc w:val="both"/>
        <w:textAlignment w:val="auto"/>
        <w:outlineLvl w:val="0"/>
        <w:rPr>
          <w:rFonts w:hint="eastAsia" w:asciiTheme="minorEastAsia" w:hAnsiTheme="minorEastAsia" w:eastAsiaTheme="minorEastAsia" w:cstheme="minorEastAsia"/>
          <w:b w:val="0"/>
          <w:bCs/>
          <w:color w:val="auto"/>
          <w:sz w:val="24"/>
          <w:szCs w:val="24"/>
          <w:lang w:eastAsia="zh-CN"/>
        </w:rPr>
      </w:pPr>
      <w:r>
        <w:rPr>
          <w:rFonts w:hint="eastAsia" w:asciiTheme="minorEastAsia" w:hAnsiTheme="minorEastAsia" w:eastAsiaTheme="minorEastAsia" w:cstheme="minorEastAsia"/>
          <w:b w:val="0"/>
          <w:bCs/>
          <w:color w:val="auto"/>
          <w:sz w:val="24"/>
          <w:szCs w:val="24"/>
        </w:rPr>
        <w:t>4、四月份开始对草坪进行修剪及草坪与植株带之间的切边</w:t>
      </w:r>
      <w:r>
        <w:rPr>
          <w:rFonts w:hint="eastAsia" w:asciiTheme="minorEastAsia" w:hAnsiTheme="minorEastAsia" w:eastAsiaTheme="minorEastAsia" w:cstheme="minorEastAsia"/>
          <w:b w:val="0"/>
          <w:bCs/>
          <w:color w:val="auto"/>
          <w:sz w:val="24"/>
          <w:szCs w:val="24"/>
          <w:lang w:eastAsia="zh-CN"/>
        </w:rPr>
        <w:t>。</w:t>
      </w:r>
    </w:p>
    <w:p>
      <w:pPr>
        <w:keepNext w:val="0"/>
        <w:keepLines w:val="0"/>
        <w:pageBreakBefore w:val="0"/>
        <w:kinsoku/>
        <w:wordWrap/>
        <w:overflowPunct/>
        <w:topLinePunct w:val="0"/>
        <w:autoSpaceDE/>
        <w:autoSpaceDN/>
        <w:bidi w:val="0"/>
        <w:adjustRightInd w:val="0"/>
        <w:snapToGrid w:val="0"/>
        <w:spacing w:line="560" w:lineRule="exact"/>
        <w:ind w:left="420" w:leftChars="200"/>
        <w:jc w:val="both"/>
        <w:textAlignment w:val="auto"/>
        <w:outlineLvl w:val="0"/>
        <w:rPr>
          <w:rFonts w:hint="eastAsia" w:asciiTheme="minorEastAsia" w:hAnsiTheme="minorEastAsia" w:eastAsiaTheme="minorEastAsia" w:cstheme="minorEastAsia"/>
          <w:b w:val="0"/>
          <w:bCs/>
          <w:color w:val="auto"/>
          <w:sz w:val="24"/>
          <w:szCs w:val="24"/>
          <w:lang w:eastAsia="zh-CN"/>
        </w:rPr>
      </w:pPr>
      <w:r>
        <w:rPr>
          <w:rFonts w:hint="eastAsia" w:asciiTheme="minorEastAsia" w:hAnsiTheme="minorEastAsia" w:eastAsiaTheme="minorEastAsia" w:cstheme="minorEastAsia"/>
          <w:b w:val="0"/>
          <w:bCs/>
          <w:color w:val="auto"/>
          <w:sz w:val="24"/>
          <w:szCs w:val="24"/>
        </w:rPr>
        <w:t>5、春末进行草坪施肥，以氮、鳞、钾为主，针对南方酸性土壤每年春季最好施一次细小磨碎的石灰</w:t>
      </w:r>
      <w:r>
        <w:rPr>
          <w:rFonts w:hint="eastAsia" w:asciiTheme="minorEastAsia" w:hAnsiTheme="minorEastAsia" w:eastAsiaTheme="minorEastAsia" w:cstheme="minorEastAsia"/>
          <w:b w:val="0"/>
          <w:bCs/>
          <w:color w:val="auto"/>
          <w:sz w:val="24"/>
          <w:szCs w:val="24"/>
          <w:lang w:eastAsia="zh-CN"/>
        </w:rPr>
        <w:t>。</w:t>
      </w:r>
    </w:p>
    <w:p>
      <w:pPr>
        <w:keepNext w:val="0"/>
        <w:keepLines w:val="0"/>
        <w:pageBreakBefore w:val="0"/>
        <w:kinsoku/>
        <w:wordWrap/>
        <w:overflowPunct/>
        <w:topLinePunct w:val="0"/>
        <w:autoSpaceDE/>
        <w:autoSpaceDN/>
        <w:bidi w:val="0"/>
        <w:adjustRightInd w:val="0"/>
        <w:snapToGrid w:val="0"/>
        <w:spacing w:line="560" w:lineRule="exact"/>
        <w:ind w:left="420" w:leftChars="200"/>
        <w:jc w:val="left"/>
        <w:textAlignment w:val="auto"/>
        <w:outlineLvl w:val="0"/>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6、杂草防除是春季草坪养护重点。对阔叶型杂草可用除养剂进行化学防治，其他杂草应加紧预防，加强人工拔除。</w:t>
      </w:r>
    </w:p>
    <w:p>
      <w:pPr>
        <w:keepNext w:val="0"/>
        <w:keepLines w:val="0"/>
        <w:pageBreakBefore w:val="0"/>
        <w:kinsoku/>
        <w:wordWrap/>
        <w:overflowPunct/>
        <w:topLinePunct w:val="0"/>
        <w:autoSpaceDE/>
        <w:autoSpaceDN/>
        <w:bidi w:val="0"/>
        <w:adjustRightInd w:val="0"/>
        <w:snapToGrid w:val="0"/>
        <w:spacing w:line="560" w:lineRule="exact"/>
        <w:ind w:left="420" w:leftChars="200"/>
        <w:jc w:val="both"/>
        <w:textAlignment w:val="auto"/>
        <w:outlineLvl w:val="0"/>
        <w:rPr>
          <w:rFonts w:hint="eastAsia" w:asciiTheme="minorEastAsia" w:hAnsiTheme="minorEastAsia" w:eastAsiaTheme="minorEastAsia" w:cstheme="minorEastAsia"/>
          <w:b/>
          <w:bCs w:val="0"/>
          <w:color w:val="auto"/>
          <w:sz w:val="24"/>
          <w:szCs w:val="24"/>
        </w:rPr>
      </w:pPr>
      <w:r>
        <w:rPr>
          <w:rFonts w:hint="eastAsia" w:asciiTheme="minorEastAsia" w:hAnsiTheme="minorEastAsia" w:eastAsiaTheme="minorEastAsia" w:cstheme="minorEastAsia"/>
          <w:b/>
          <w:bCs w:val="0"/>
          <w:color w:val="auto"/>
          <w:sz w:val="24"/>
          <w:szCs w:val="24"/>
        </w:rPr>
        <w:t>夏</w:t>
      </w:r>
      <w:r>
        <w:rPr>
          <w:rFonts w:hint="eastAsia" w:asciiTheme="minorEastAsia" w:hAnsiTheme="minorEastAsia" w:eastAsiaTheme="minorEastAsia" w:cstheme="minorEastAsia"/>
          <w:b/>
          <w:bCs w:val="0"/>
          <w:color w:val="auto"/>
          <w:sz w:val="24"/>
          <w:szCs w:val="24"/>
          <w:lang w:val="en-US" w:eastAsia="zh-CN"/>
        </w:rPr>
        <w:t>季</w:t>
      </w:r>
      <w:r>
        <w:rPr>
          <w:rFonts w:hint="eastAsia" w:asciiTheme="minorEastAsia" w:hAnsiTheme="minorEastAsia" w:eastAsiaTheme="minorEastAsia" w:cstheme="minorEastAsia"/>
          <w:b/>
          <w:bCs w:val="0"/>
          <w:color w:val="auto"/>
          <w:sz w:val="24"/>
          <w:szCs w:val="24"/>
        </w:rPr>
        <w:t>:</w:t>
      </w:r>
    </w:p>
    <w:p>
      <w:pPr>
        <w:keepNext w:val="0"/>
        <w:keepLines w:val="0"/>
        <w:pageBreakBefore w:val="0"/>
        <w:kinsoku/>
        <w:wordWrap/>
        <w:overflowPunct/>
        <w:topLinePunct w:val="0"/>
        <w:autoSpaceDE/>
        <w:autoSpaceDN/>
        <w:bidi w:val="0"/>
        <w:adjustRightInd w:val="0"/>
        <w:snapToGrid w:val="0"/>
        <w:spacing w:line="560" w:lineRule="exact"/>
        <w:ind w:left="420" w:leftChars="200"/>
        <w:jc w:val="both"/>
        <w:textAlignment w:val="auto"/>
        <w:outlineLvl w:val="0"/>
        <w:rPr>
          <w:rFonts w:hint="eastAsia" w:asciiTheme="minorEastAsia" w:hAnsiTheme="minorEastAsia" w:eastAsiaTheme="minorEastAsia" w:cstheme="minorEastAsia"/>
          <w:b w:val="0"/>
          <w:bCs/>
          <w:color w:val="auto"/>
          <w:sz w:val="24"/>
          <w:szCs w:val="24"/>
          <w:lang w:eastAsia="zh-CN"/>
        </w:rPr>
      </w:pPr>
      <w:r>
        <w:rPr>
          <w:rFonts w:hint="eastAsia" w:asciiTheme="minorEastAsia" w:hAnsiTheme="minorEastAsia" w:eastAsiaTheme="minorEastAsia" w:cstheme="minorEastAsia"/>
          <w:b w:val="0"/>
          <w:bCs/>
          <w:color w:val="auto"/>
          <w:sz w:val="24"/>
          <w:szCs w:val="24"/>
        </w:rPr>
        <w:t>1、做好草坪抗早工作，及时浇水，水量要充足</w:t>
      </w:r>
      <w:r>
        <w:rPr>
          <w:rFonts w:hint="eastAsia" w:asciiTheme="minorEastAsia" w:hAnsiTheme="minorEastAsia" w:eastAsiaTheme="minorEastAsia" w:cstheme="minorEastAsia"/>
          <w:b w:val="0"/>
          <w:bCs/>
          <w:color w:val="auto"/>
          <w:sz w:val="24"/>
          <w:szCs w:val="24"/>
          <w:lang w:eastAsia="zh-CN"/>
        </w:rPr>
        <w:t>。</w:t>
      </w:r>
    </w:p>
    <w:p>
      <w:pPr>
        <w:keepNext w:val="0"/>
        <w:keepLines w:val="0"/>
        <w:pageBreakBefore w:val="0"/>
        <w:kinsoku/>
        <w:wordWrap/>
        <w:overflowPunct/>
        <w:topLinePunct w:val="0"/>
        <w:autoSpaceDE/>
        <w:autoSpaceDN/>
        <w:bidi w:val="0"/>
        <w:adjustRightInd w:val="0"/>
        <w:snapToGrid w:val="0"/>
        <w:spacing w:line="560" w:lineRule="exact"/>
        <w:ind w:left="420" w:leftChars="200"/>
        <w:jc w:val="both"/>
        <w:textAlignment w:val="auto"/>
        <w:outlineLvl w:val="0"/>
        <w:rPr>
          <w:rFonts w:hint="eastAsia" w:asciiTheme="minorEastAsia" w:hAnsiTheme="minorEastAsia" w:eastAsiaTheme="minorEastAsia" w:cstheme="minorEastAsia"/>
          <w:b w:val="0"/>
          <w:bCs/>
          <w:color w:val="auto"/>
          <w:sz w:val="24"/>
          <w:szCs w:val="24"/>
          <w:lang w:eastAsia="zh-CN"/>
        </w:rPr>
      </w:pPr>
      <w:r>
        <w:rPr>
          <w:rFonts w:hint="eastAsia" w:asciiTheme="minorEastAsia" w:hAnsiTheme="minorEastAsia" w:eastAsiaTheme="minorEastAsia" w:cstheme="minorEastAsia"/>
          <w:b w:val="0"/>
          <w:bCs/>
          <w:color w:val="auto"/>
          <w:sz w:val="24"/>
          <w:szCs w:val="24"/>
        </w:rPr>
        <w:t>2、根据草坪营养状况，酌情施肥</w:t>
      </w:r>
      <w:r>
        <w:rPr>
          <w:rFonts w:hint="eastAsia" w:asciiTheme="minorEastAsia" w:hAnsiTheme="minorEastAsia" w:eastAsiaTheme="minorEastAsia" w:cstheme="minorEastAsia"/>
          <w:b w:val="0"/>
          <w:bCs/>
          <w:color w:val="auto"/>
          <w:sz w:val="24"/>
          <w:szCs w:val="24"/>
          <w:lang w:eastAsia="zh-CN"/>
        </w:rPr>
        <w:t>。</w:t>
      </w:r>
    </w:p>
    <w:p>
      <w:pPr>
        <w:keepNext w:val="0"/>
        <w:keepLines w:val="0"/>
        <w:pageBreakBefore w:val="0"/>
        <w:kinsoku/>
        <w:wordWrap/>
        <w:overflowPunct/>
        <w:topLinePunct w:val="0"/>
        <w:autoSpaceDE/>
        <w:autoSpaceDN/>
        <w:bidi w:val="0"/>
        <w:adjustRightInd w:val="0"/>
        <w:snapToGrid w:val="0"/>
        <w:spacing w:line="560" w:lineRule="exact"/>
        <w:ind w:left="420" w:leftChars="200"/>
        <w:jc w:val="both"/>
        <w:textAlignment w:val="auto"/>
        <w:outlineLvl w:val="0"/>
        <w:rPr>
          <w:rFonts w:hint="eastAsia" w:asciiTheme="minorEastAsia" w:hAnsiTheme="minorEastAsia" w:eastAsiaTheme="minorEastAsia" w:cstheme="minorEastAsia"/>
          <w:b w:val="0"/>
          <w:bCs/>
          <w:color w:val="auto"/>
          <w:sz w:val="24"/>
          <w:szCs w:val="24"/>
          <w:lang w:eastAsia="zh-CN"/>
        </w:rPr>
      </w:pPr>
      <w:r>
        <w:rPr>
          <w:rFonts w:hint="eastAsia" w:asciiTheme="minorEastAsia" w:hAnsiTheme="minorEastAsia" w:eastAsiaTheme="minorEastAsia" w:cstheme="minorEastAsia"/>
          <w:b w:val="0"/>
          <w:bCs/>
          <w:color w:val="auto"/>
          <w:sz w:val="24"/>
          <w:szCs w:val="24"/>
        </w:rPr>
        <w:t>3、继续草坪除杂工作</w:t>
      </w:r>
      <w:r>
        <w:rPr>
          <w:rFonts w:hint="eastAsia" w:asciiTheme="minorEastAsia" w:hAnsiTheme="minorEastAsia" w:eastAsiaTheme="minorEastAsia" w:cstheme="minorEastAsia"/>
          <w:b w:val="0"/>
          <w:bCs/>
          <w:color w:val="auto"/>
          <w:sz w:val="24"/>
          <w:szCs w:val="24"/>
          <w:lang w:eastAsia="zh-CN"/>
        </w:rPr>
        <w:t>。</w:t>
      </w:r>
    </w:p>
    <w:p>
      <w:pPr>
        <w:keepNext w:val="0"/>
        <w:keepLines w:val="0"/>
        <w:pageBreakBefore w:val="0"/>
        <w:kinsoku/>
        <w:wordWrap/>
        <w:overflowPunct/>
        <w:topLinePunct w:val="0"/>
        <w:autoSpaceDE/>
        <w:autoSpaceDN/>
        <w:bidi w:val="0"/>
        <w:adjustRightInd w:val="0"/>
        <w:snapToGrid w:val="0"/>
        <w:spacing w:line="560" w:lineRule="exact"/>
        <w:ind w:left="420" w:leftChars="200"/>
        <w:jc w:val="left"/>
        <w:textAlignment w:val="auto"/>
        <w:outlineLvl w:val="0"/>
        <w:rPr>
          <w:rFonts w:hint="eastAsia" w:asciiTheme="minorEastAsia" w:hAnsiTheme="minorEastAsia" w:eastAsiaTheme="minorEastAsia" w:cstheme="minorEastAsia"/>
          <w:b w:val="0"/>
          <w:bCs/>
          <w:color w:val="auto"/>
          <w:sz w:val="24"/>
          <w:szCs w:val="24"/>
          <w:lang w:eastAsia="zh-CN"/>
        </w:rPr>
      </w:pPr>
      <w:r>
        <w:rPr>
          <w:rFonts w:hint="eastAsia" w:asciiTheme="minorEastAsia" w:hAnsiTheme="minorEastAsia" w:eastAsiaTheme="minorEastAsia" w:cstheme="minorEastAsia"/>
          <w:b w:val="0"/>
          <w:bCs/>
          <w:color w:val="auto"/>
          <w:sz w:val="24"/>
          <w:szCs w:val="24"/>
        </w:rPr>
        <w:t>4、草坪到一定高度及时修剪，及时清场，防止草坪的过于茂盛滋生病害影响后期生长</w:t>
      </w:r>
      <w:r>
        <w:rPr>
          <w:rFonts w:hint="eastAsia" w:asciiTheme="minorEastAsia" w:hAnsiTheme="minorEastAsia" w:eastAsiaTheme="minorEastAsia" w:cstheme="minorEastAsia"/>
          <w:b w:val="0"/>
          <w:bCs/>
          <w:color w:val="auto"/>
          <w:sz w:val="24"/>
          <w:szCs w:val="24"/>
          <w:lang w:eastAsia="zh-CN"/>
        </w:rPr>
        <w:t>。</w:t>
      </w:r>
    </w:p>
    <w:p>
      <w:pPr>
        <w:keepNext w:val="0"/>
        <w:keepLines w:val="0"/>
        <w:pageBreakBefore w:val="0"/>
        <w:kinsoku/>
        <w:wordWrap/>
        <w:overflowPunct/>
        <w:topLinePunct w:val="0"/>
        <w:autoSpaceDE/>
        <w:autoSpaceDN/>
        <w:bidi w:val="0"/>
        <w:adjustRightInd w:val="0"/>
        <w:snapToGrid w:val="0"/>
        <w:spacing w:line="560" w:lineRule="exact"/>
        <w:ind w:left="420" w:leftChars="200"/>
        <w:jc w:val="both"/>
        <w:textAlignment w:val="auto"/>
        <w:outlineLvl w:val="0"/>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5、检查虫情病情，采取预防措施。</w:t>
      </w:r>
    </w:p>
    <w:p>
      <w:pPr>
        <w:keepNext w:val="0"/>
        <w:keepLines w:val="0"/>
        <w:pageBreakBefore w:val="0"/>
        <w:kinsoku/>
        <w:wordWrap/>
        <w:overflowPunct/>
        <w:topLinePunct w:val="0"/>
        <w:autoSpaceDE/>
        <w:autoSpaceDN/>
        <w:bidi w:val="0"/>
        <w:adjustRightInd w:val="0"/>
        <w:snapToGrid w:val="0"/>
        <w:spacing w:line="560" w:lineRule="exact"/>
        <w:ind w:left="420" w:leftChars="200"/>
        <w:jc w:val="both"/>
        <w:textAlignment w:val="auto"/>
        <w:outlineLvl w:val="0"/>
        <w:rPr>
          <w:rFonts w:hint="eastAsia" w:asciiTheme="minorEastAsia" w:hAnsiTheme="minorEastAsia" w:eastAsiaTheme="minorEastAsia" w:cstheme="minorEastAsia"/>
          <w:b/>
          <w:bCs w:val="0"/>
          <w:color w:val="auto"/>
          <w:sz w:val="24"/>
          <w:szCs w:val="24"/>
        </w:rPr>
      </w:pPr>
      <w:r>
        <w:rPr>
          <w:rFonts w:hint="eastAsia" w:asciiTheme="minorEastAsia" w:hAnsiTheme="minorEastAsia" w:eastAsiaTheme="minorEastAsia" w:cstheme="minorEastAsia"/>
          <w:b/>
          <w:bCs w:val="0"/>
          <w:color w:val="auto"/>
          <w:sz w:val="24"/>
          <w:szCs w:val="24"/>
        </w:rPr>
        <w:t>秋</w:t>
      </w:r>
      <w:r>
        <w:rPr>
          <w:rFonts w:hint="eastAsia" w:asciiTheme="minorEastAsia" w:hAnsiTheme="minorEastAsia" w:eastAsiaTheme="minorEastAsia" w:cstheme="minorEastAsia"/>
          <w:b/>
          <w:bCs w:val="0"/>
          <w:color w:val="auto"/>
          <w:sz w:val="24"/>
          <w:szCs w:val="24"/>
          <w:lang w:val="en-US" w:eastAsia="zh-CN"/>
        </w:rPr>
        <w:t>季</w:t>
      </w:r>
      <w:r>
        <w:rPr>
          <w:rFonts w:hint="eastAsia" w:asciiTheme="minorEastAsia" w:hAnsiTheme="minorEastAsia" w:eastAsiaTheme="minorEastAsia" w:cstheme="minorEastAsia"/>
          <w:b/>
          <w:bCs w:val="0"/>
          <w:color w:val="auto"/>
          <w:sz w:val="24"/>
          <w:szCs w:val="24"/>
        </w:rPr>
        <w:t>:</w:t>
      </w:r>
    </w:p>
    <w:p>
      <w:pPr>
        <w:keepNext w:val="0"/>
        <w:keepLines w:val="0"/>
        <w:pageBreakBefore w:val="0"/>
        <w:kinsoku/>
        <w:wordWrap/>
        <w:overflowPunct/>
        <w:topLinePunct w:val="0"/>
        <w:autoSpaceDE/>
        <w:autoSpaceDN/>
        <w:bidi w:val="0"/>
        <w:adjustRightInd w:val="0"/>
        <w:snapToGrid w:val="0"/>
        <w:spacing w:line="560" w:lineRule="exact"/>
        <w:ind w:left="420" w:leftChars="200"/>
        <w:jc w:val="both"/>
        <w:textAlignment w:val="auto"/>
        <w:outlineLvl w:val="0"/>
        <w:rPr>
          <w:rFonts w:hint="eastAsia" w:asciiTheme="minorEastAsia" w:hAnsiTheme="minorEastAsia" w:eastAsiaTheme="minorEastAsia" w:cstheme="minorEastAsia"/>
          <w:b w:val="0"/>
          <w:bCs/>
          <w:color w:val="auto"/>
          <w:sz w:val="24"/>
          <w:szCs w:val="24"/>
          <w:lang w:eastAsia="zh-CN"/>
        </w:rPr>
      </w:pPr>
      <w:r>
        <w:rPr>
          <w:rFonts w:hint="eastAsia" w:asciiTheme="minorEastAsia" w:hAnsiTheme="minorEastAsia" w:eastAsiaTheme="minorEastAsia" w:cstheme="minorEastAsia"/>
          <w:b w:val="0"/>
          <w:bCs/>
          <w:color w:val="auto"/>
          <w:sz w:val="24"/>
          <w:szCs w:val="24"/>
        </w:rPr>
        <w:t>1、草坪出现缺水指标时及时进行灌溉</w:t>
      </w:r>
      <w:r>
        <w:rPr>
          <w:rFonts w:hint="eastAsia" w:asciiTheme="minorEastAsia" w:hAnsiTheme="minorEastAsia" w:eastAsiaTheme="minorEastAsia" w:cstheme="minorEastAsia"/>
          <w:b w:val="0"/>
          <w:bCs/>
          <w:color w:val="auto"/>
          <w:sz w:val="24"/>
          <w:szCs w:val="24"/>
          <w:lang w:eastAsia="zh-CN"/>
        </w:rPr>
        <w:t>。</w:t>
      </w:r>
    </w:p>
    <w:p>
      <w:pPr>
        <w:keepNext w:val="0"/>
        <w:keepLines w:val="0"/>
        <w:pageBreakBefore w:val="0"/>
        <w:kinsoku/>
        <w:wordWrap/>
        <w:overflowPunct/>
        <w:topLinePunct w:val="0"/>
        <w:autoSpaceDE/>
        <w:autoSpaceDN/>
        <w:bidi w:val="0"/>
        <w:adjustRightInd w:val="0"/>
        <w:snapToGrid w:val="0"/>
        <w:spacing w:line="560" w:lineRule="exact"/>
        <w:ind w:left="420" w:leftChars="200"/>
        <w:jc w:val="left"/>
        <w:textAlignment w:val="auto"/>
        <w:outlineLvl w:val="0"/>
        <w:rPr>
          <w:rFonts w:hint="eastAsia" w:asciiTheme="minorEastAsia" w:hAnsiTheme="minorEastAsia" w:eastAsiaTheme="minorEastAsia" w:cstheme="minorEastAsia"/>
          <w:b w:val="0"/>
          <w:bCs/>
          <w:color w:val="auto"/>
          <w:sz w:val="24"/>
          <w:szCs w:val="24"/>
          <w:lang w:eastAsia="zh-CN"/>
        </w:rPr>
      </w:pPr>
      <w:r>
        <w:rPr>
          <w:rFonts w:hint="eastAsia" w:asciiTheme="minorEastAsia" w:hAnsiTheme="minorEastAsia" w:eastAsiaTheme="minorEastAsia" w:cstheme="minorEastAsia"/>
          <w:b w:val="0"/>
          <w:bCs/>
          <w:color w:val="auto"/>
          <w:sz w:val="24"/>
          <w:szCs w:val="24"/>
        </w:rPr>
        <w:t>2、九月份可照旧剪草，到十月份逐渐停止，最后一、二次修剪应提高留茬高度</w:t>
      </w:r>
      <w:r>
        <w:rPr>
          <w:rFonts w:hint="eastAsia" w:asciiTheme="minorEastAsia" w:hAnsiTheme="minorEastAsia" w:eastAsiaTheme="minorEastAsia" w:cstheme="minorEastAsia"/>
          <w:b w:val="0"/>
          <w:bCs/>
          <w:color w:val="auto"/>
          <w:sz w:val="24"/>
          <w:szCs w:val="24"/>
          <w:lang w:eastAsia="zh-CN"/>
        </w:rPr>
        <w:t>。</w:t>
      </w:r>
    </w:p>
    <w:p>
      <w:pPr>
        <w:keepNext w:val="0"/>
        <w:keepLines w:val="0"/>
        <w:pageBreakBefore w:val="0"/>
        <w:kinsoku/>
        <w:wordWrap/>
        <w:overflowPunct/>
        <w:topLinePunct w:val="0"/>
        <w:autoSpaceDE/>
        <w:autoSpaceDN/>
        <w:bidi w:val="0"/>
        <w:adjustRightInd w:val="0"/>
        <w:snapToGrid w:val="0"/>
        <w:spacing w:line="560" w:lineRule="exact"/>
        <w:ind w:left="420" w:leftChars="200"/>
        <w:jc w:val="both"/>
        <w:textAlignment w:val="auto"/>
        <w:outlineLvl w:val="0"/>
        <w:rPr>
          <w:rFonts w:hint="eastAsia" w:asciiTheme="minorEastAsia" w:hAnsiTheme="minorEastAsia" w:eastAsiaTheme="minorEastAsia" w:cstheme="minorEastAsia"/>
          <w:b w:val="0"/>
          <w:bCs/>
          <w:color w:val="auto"/>
          <w:sz w:val="24"/>
          <w:szCs w:val="24"/>
          <w:lang w:eastAsia="zh-CN"/>
        </w:rPr>
      </w:pPr>
      <w:r>
        <w:rPr>
          <w:rFonts w:hint="eastAsia" w:asciiTheme="minorEastAsia" w:hAnsiTheme="minorEastAsia" w:eastAsiaTheme="minorEastAsia" w:cstheme="minorEastAsia"/>
          <w:b w:val="0"/>
          <w:bCs/>
          <w:color w:val="auto"/>
          <w:sz w:val="24"/>
          <w:szCs w:val="24"/>
        </w:rPr>
        <w:t>3、挖除丛生的荒草，修复草坪</w:t>
      </w:r>
      <w:r>
        <w:rPr>
          <w:rFonts w:hint="eastAsia" w:asciiTheme="minorEastAsia" w:hAnsiTheme="minorEastAsia" w:eastAsiaTheme="minorEastAsia" w:cstheme="minorEastAsia"/>
          <w:b w:val="0"/>
          <w:bCs/>
          <w:color w:val="auto"/>
          <w:sz w:val="24"/>
          <w:szCs w:val="24"/>
          <w:lang w:eastAsia="zh-CN"/>
        </w:rPr>
        <w:t>。</w:t>
      </w:r>
    </w:p>
    <w:p>
      <w:pPr>
        <w:keepNext w:val="0"/>
        <w:keepLines w:val="0"/>
        <w:pageBreakBefore w:val="0"/>
        <w:kinsoku/>
        <w:wordWrap/>
        <w:overflowPunct/>
        <w:topLinePunct w:val="0"/>
        <w:autoSpaceDE/>
        <w:autoSpaceDN/>
        <w:bidi w:val="0"/>
        <w:adjustRightInd w:val="0"/>
        <w:snapToGrid w:val="0"/>
        <w:spacing w:line="560" w:lineRule="exact"/>
        <w:ind w:left="420" w:leftChars="200"/>
        <w:jc w:val="both"/>
        <w:textAlignment w:val="auto"/>
        <w:outlineLvl w:val="0"/>
        <w:rPr>
          <w:rFonts w:hint="eastAsia" w:asciiTheme="minorEastAsia" w:hAnsiTheme="minorEastAsia" w:eastAsiaTheme="minorEastAsia" w:cstheme="minorEastAsia"/>
          <w:b w:val="0"/>
          <w:bCs/>
          <w:color w:val="auto"/>
          <w:sz w:val="24"/>
          <w:szCs w:val="24"/>
          <w:lang w:eastAsia="zh-CN"/>
        </w:rPr>
      </w:pPr>
      <w:r>
        <w:rPr>
          <w:rFonts w:hint="eastAsia" w:asciiTheme="minorEastAsia" w:hAnsiTheme="minorEastAsia" w:eastAsiaTheme="minorEastAsia" w:cstheme="minorEastAsia"/>
          <w:b w:val="0"/>
          <w:bCs/>
          <w:color w:val="auto"/>
          <w:sz w:val="24"/>
          <w:szCs w:val="24"/>
        </w:rPr>
        <w:t>4、做好病虫害防治工作</w:t>
      </w:r>
      <w:r>
        <w:rPr>
          <w:rFonts w:hint="eastAsia" w:asciiTheme="minorEastAsia" w:hAnsiTheme="minorEastAsia" w:eastAsiaTheme="minorEastAsia" w:cstheme="minorEastAsia"/>
          <w:b w:val="0"/>
          <w:bCs/>
          <w:color w:val="auto"/>
          <w:sz w:val="24"/>
          <w:szCs w:val="24"/>
          <w:lang w:eastAsia="zh-CN"/>
        </w:rPr>
        <w:t>。</w:t>
      </w:r>
    </w:p>
    <w:p>
      <w:pPr>
        <w:keepNext w:val="0"/>
        <w:keepLines w:val="0"/>
        <w:pageBreakBefore w:val="0"/>
        <w:kinsoku/>
        <w:wordWrap/>
        <w:overflowPunct/>
        <w:topLinePunct w:val="0"/>
        <w:autoSpaceDE/>
        <w:autoSpaceDN/>
        <w:bidi w:val="0"/>
        <w:adjustRightInd w:val="0"/>
        <w:snapToGrid w:val="0"/>
        <w:spacing w:line="560" w:lineRule="exact"/>
        <w:ind w:left="420" w:leftChars="200"/>
        <w:jc w:val="both"/>
        <w:textAlignment w:val="auto"/>
        <w:outlineLvl w:val="0"/>
        <w:rPr>
          <w:rFonts w:hint="eastAsia" w:asciiTheme="minorEastAsia" w:hAnsiTheme="minorEastAsia" w:eastAsiaTheme="minorEastAsia" w:cstheme="minorEastAsia"/>
          <w:b w:val="0"/>
          <w:bCs/>
          <w:color w:val="auto"/>
          <w:sz w:val="24"/>
          <w:szCs w:val="24"/>
          <w:lang w:eastAsia="zh-CN"/>
        </w:rPr>
      </w:pPr>
      <w:r>
        <w:rPr>
          <w:rFonts w:hint="eastAsia" w:asciiTheme="minorEastAsia" w:hAnsiTheme="minorEastAsia" w:eastAsiaTheme="minorEastAsia" w:cstheme="minorEastAsia"/>
          <w:b w:val="0"/>
          <w:bCs/>
          <w:color w:val="auto"/>
          <w:sz w:val="24"/>
          <w:szCs w:val="24"/>
        </w:rPr>
        <w:t>5、清除落叶杂物，保持草坪清洁干净</w:t>
      </w:r>
      <w:r>
        <w:rPr>
          <w:rFonts w:hint="eastAsia" w:asciiTheme="minorEastAsia" w:hAnsiTheme="minorEastAsia" w:eastAsiaTheme="minorEastAsia" w:cstheme="minorEastAsia"/>
          <w:b w:val="0"/>
          <w:bCs/>
          <w:color w:val="auto"/>
          <w:sz w:val="24"/>
          <w:szCs w:val="24"/>
          <w:lang w:eastAsia="zh-CN"/>
        </w:rPr>
        <w:t>。</w:t>
      </w:r>
    </w:p>
    <w:p>
      <w:pPr>
        <w:keepNext w:val="0"/>
        <w:keepLines w:val="0"/>
        <w:pageBreakBefore w:val="0"/>
        <w:kinsoku/>
        <w:wordWrap/>
        <w:overflowPunct/>
        <w:topLinePunct w:val="0"/>
        <w:autoSpaceDE/>
        <w:autoSpaceDN/>
        <w:bidi w:val="0"/>
        <w:adjustRightInd w:val="0"/>
        <w:snapToGrid w:val="0"/>
        <w:spacing w:line="560" w:lineRule="exact"/>
        <w:ind w:left="420" w:leftChars="200"/>
        <w:jc w:val="both"/>
        <w:textAlignment w:val="auto"/>
        <w:outlineLvl w:val="0"/>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6、视草坪生长情况，进行一次秋季施肥，以氮肥为主。</w:t>
      </w:r>
    </w:p>
    <w:p>
      <w:pPr>
        <w:keepNext w:val="0"/>
        <w:keepLines w:val="0"/>
        <w:pageBreakBefore w:val="0"/>
        <w:kinsoku/>
        <w:wordWrap/>
        <w:overflowPunct/>
        <w:topLinePunct w:val="0"/>
        <w:autoSpaceDE/>
        <w:autoSpaceDN/>
        <w:bidi w:val="0"/>
        <w:adjustRightInd w:val="0"/>
        <w:snapToGrid w:val="0"/>
        <w:spacing w:line="560" w:lineRule="exact"/>
        <w:ind w:left="420" w:leftChars="200"/>
        <w:jc w:val="both"/>
        <w:textAlignment w:val="auto"/>
        <w:outlineLvl w:val="0"/>
        <w:rPr>
          <w:rFonts w:hint="eastAsia" w:asciiTheme="minorEastAsia" w:hAnsiTheme="minorEastAsia" w:eastAsiaTheme="minorEastAsia" w:cstheme="minorEastAsia"/>
          <w:b/>
          <w:bCs w:val="0"/>
          <w:color w:val="auto"/>
          <w:sz w:val="24"/>
          <w:szCs w:val="24"/>
        </w:rPr>
      </w:pPr>
      <w:r>
        <w:rPr>
          <w:rFonts w:hint="eastAsia" w:asciiTheme="minorEastAsia" w:hAnsiTheme="minorEastAsia" w:eastAsiaTheme="minorEastAsia" w:cstheme="minorEastAsia"/>
          <w:b/>
          <w:bCs w:val="0"/>
          <w:color w:val="auto"/>
          <w:sz w:val="24"/>
          <w:szCs w:val="24"/>
        </w:rPr>
        <w:t>冬</w:t>
      </w:r>
      <w:r>
        <w:rPr>
          <w:rFonts w:hint="eastAsia" w:asciiTheme="minorEastAsia" w:hAnsiTheme="minorEastAsia" w:eastAsiaTheme="minorEastAsia" w:cstheme="minorEastAsia"/>
          <w:b/>
          <w:bCs w:val="0"/>
          <w:color w:val="auto"/>
          <w:sz w:val="24"/>
          <w:szCs w:val="24"/>
          <w:lang w:val="en-US" w:eastAsia="zh-CN"/>
        </w:rPr>
        <w:t>季</w:t>
      </w:r>
      <w:r>
        <w:rPr>
          <w:rFonts w:hint="eastAsia" w:asciiTheme="minorEastAsia" w:hAnsiTheme="minorEastAsia" w:eastAsiaTheme="minorEastAsia" w:cstheme="minorEastAsia"/>
          <w:b/>
          <w:bCs w:val="0"/>
          <w:color w:val="auto"/>
          <w:sz w:val="24"/>
          <w:szCs w:val="24"/>
        </w:rPr>
        <w:t>:</w:t>
      </w:r>
    </w:p>
    <w:p>
      <w:pPr>
        <w:keepNext w:val="0"/>
        <w:keepLines w:val="0"/>
        <w:pageBreakBefore w:val="0"/>
        <w:kinsoku/>
        <w:wordWrap/>
        <w:overflowPunct/>
        <w:topLinePunct w:val="0"/>
        <w:autoSpaceDE/>
        <w:autoSpaceDN/>
        <w:bidi w:val="0"/>
        <w:adjustRightInd w:val="0"/>
        <w:snapToGrid w:val="0"/>
        <w:spacing w:line="560" w:lineRule="exact"/>
        <w:ind w:left="420" w:leftChars="200"/>
        <w:jc w:val="both"/>
        <w:textAlignment w:val="auto"/>
        <w:outlineLvl w:val="0"/>
        <w:rPr>
          <w:rFonts w:hint="eastAsia" w:asciiTheme="minorEastAsia" w:hAnsiTheme="minorEastAsia" w:eastAsiaTheme="minorEastAsia" w:cstheme="minorEastAsia"/>
          <w:b w:val="0"/>
          <w:bCs/>
          <w:color w:val="auto"/>
          <w:sz w:val="24"/>
          <w:szCs w:val="24"/>
          <w:lang w:eastAsia="zh-CN"/>
        </w:rPr>
      </w:pPr>
      <w:r>
        <w:rPr>
          <w:rFonts w:hint="eastAsia" w:asciiTheme="minorEastAsia" w:hAnsiTheme="minorEastAsia" w:eastAsiaTheme="minorEastAsia" w:cstheme="minorEastAsia"/>
          <w:b w:val="0"/>
          <w:bCs/>
          <w:color w:val="auto"/>
          <w:sz w:val="24"/>
          <w:szCs w:val="24"/>
        </w:rPr>
        <w:t>1、在睛朗天气对草坪进行最后一次高茬修剪</w:t>
      </w:r>
      <w:r>
        <w:rPr>
          <w:rFonts w:hint="eastAsia" w:asciiTheme="minorEastAsia" w:hAnsiTheme="minorEastAsia" w:eastAsiaTheme="minorEastAsia" w:cstheme="minorEastAsia"/>
          <w:b w:val="0"/>
          <w:bCs/>
          <w:color w:val="auto"/>
          <w:sz w:val="24"/>
          <w:szCs w:val="24"/>
          <w:lang w:eastAsia="zh-CN"/>
        </w:rPr>
        <w:t>。</w:t>
      </w:r>
    </w:p>
    <w:p>
      <w:pPr>
        <w:keepNext w:val="0"/>
        <w:keepLines w:val="0"/>
        <w:pageBreakBefore w:val="0"/>
        <w:kinsoku/>
        <w:wordWrap/>
        <w:overflowPunct/>
        <w:topLinePunct w:val="0"/>
        <w:autoSpaceDE/>
        <w:autoSpaceDN/>
        <w:bidi w:val="0"/>
        <w:adjustRightInd w:val="0"/>
        <w:snapToGrid w:val="0"/>
        <w:spacing w:line="560" w:lineRule="exact"/>
        <w:ind w:left="420" w:leftChars="200"/>
        <w:jc w:val="both"/>
        <w:textAlignment w:val="auto"/>
        <w:outlineLvl w:val="0"/>
        <w:rPr>
          <w:rFonts w:hint="eastAsia" w:asciiTheme="minorEastAsia" w:hAnsiTheme="minorEastAsia" w:eastAsiaTheme="minorEastAsia" w:cstheme="minorEastAsia"/>
          <w:b w:val="0"/>
          <w:bCs/>
          <w:color w:val="auto"/>
          <w:sz w:val="24"/>
          <w:szCs w:val="24"/>
          <w:lang w:eastAsia="zh-CN"/>
        </w:rPr>
      </w:pPr>
      <w:r>
        <w:rPr>
          <w:rFonts w:hint="eastAsia" w:asciiTheme="minorEastAsia" w:hAnsiTheme="minorEastAsia" w:eastAsiaTheme="minorEastAsia" w:cstheme="minorEastAsia"/>
          <w:b w:val="0"/>
          <w:bCs/>
          <w:color w:val="auto"/>
          <w:sz w:val="24"/>
          <w:szCs w:val="24"/>
        </w:rPr>
        <w:t>2、继续除杂</w:t>
      </w:r>
      <w:r>
        <w:rPr>
          <w:rFonts w:hint="eastAsia" w:asciiTheme="minorEastAsia" w:hAnsiTheme="minorEastAsia" w:eastAsiaTheme="minorEastAsia" w:cstheme="minorEastAsia"/>
          <w:b w:val="0"/>
          <w:bCs/>
          <w:color w:val="auto"/>
          <w:sz w:val="24"/>
          <w:szCs w:val="24"/>
          <w:lang w:eastAsia="zh-CN"/>
        </w:rPr>
        <w:t>。</w:t>
      </w:r>
    </w:p>
    <w:p>
      <w:pPr>
        <w:keepNext w:val="0"/>
        <w:keepLines w:val="0"/>
        <w:pageBreakBefore w:val="0"/>
        <w:kinsoku/>
        <w:wordWrap/>
        <w:overflowPunct/>
        <w:topLinePunct w:val="0"/>
        <w:autoSpaceDE/>
        <w:autoSpaceDN/>
        <w:bidi w:val="0"/>
        <w:adjustRightInd w:val="0"/>
        <w:snapToGrid w:val="0"/>
        <w:spacing w:line="560" w:lineRule="exact"/>
        <w:ind w:left="420" w:leftChars="200"/>
        <w:jc w:val="both"/>
        <w:textAlignment w:val="auto"/>
        <w:outlineLvl w:val="0"/>
        <w:rPr>
          <w:rFonts w:hint="eastAsia" w:asciiTheme="minorEastAsia" w:hAnsiTheme="minorEastAsia" w:eastAsiaTheme="minorEastAsia" w:cstheme="minorEastAsia"/>
          <w:b w:val="0"/>
          <w:bCs/>
          <w:color w:val="auto"/>
          <w:sz w:val="24"/>
          <w:szCs w:val="24"/>
          <w:lang w:eastAsia="zh-CN"/>
        </w:rPr>
      </w:pPr>
      <w:r>
        <w:rPr>
          <w:rFonts w:hint="eastAsia" w:asciiTheme="minorEastAsia" w:hAnsiTheme="minorEastAsia" w:eastAsiaTheme="minorEastAsia" w:cstheme="minorEastAsia"/>
          <w:b w:val="0"/>
          <w:bCs/>
          <w:color w:val="auto"/>
          <w:sz w:val="24"/>
          <w:szCs w:val="24"/>
        </w:rPr>
        <w:t>3、清理、保养好所有草坪设备，以便过冬</w:t>
      </w:r>
      <w:r>
        <w:rPr>
          <w:rFonts w:hint="eastAsia" w:asciiTheme="minorEastAsia" w:hAnsiTheme="minorEastAsia" w:eastAsiaTheme="minorEastAsia" w:cstheme="minorEastAsia"/>
          <w:b w:val="0"/>
          <w:bCs/>
          <w:color w:val="auto"/>
          <w:sz w:val="24"/>
          <w:szCs w:val="24"/>
          <w:lang w:eastAsia="zh-CN"/>
        </w:rPr>
        <w:t>。</w:t>
      </w:r>
    </w:p>
    <w:p>
      <w:pPr>
        <w:keepNext w:val="0"/>
        <w:keepLines w:val="0"/>
        <w:pageBreakBefore w:val="0"/>
        <w:kinsoku/>
        <w:wordWrap/>
        <w:overflowPunct/>
        <w:topLinePunct w:val="0"/>
        <w:autoSpaceDE/>
        <w:autoSpaceDN/>
        <w:bidi w:val="0"/>
        <w:adjustRightInd w:val="0"/>
        <w:snapToGrid w:val="0"/>
        <w:spacing w:line="560" w:lineRule="exact"/>
        <w:ind w:left="420" w:leftChars="200"/>
        <w:jc w:val="both"/>
        <w:textAlignment w:val="auto"/>
        <w:outlineLvl w:val="0"/>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4、全面清理草坪。</w:t>
      </w:r>
    </w:p>
    <w:p>
      <w:pPr>
        <w:rPr>
          <w:rFonts w:ascii="Times New Roman" w:hAnsi="Times New Roman" w:cs="Times New Roman"/>
          <w:b/>
          <w:color w:val="auto"/>
          <w:sz w:val="36"/>
          <w:szCs w:val="36"/>
        </w:rPr>
      </w:pPr>
    </w:p>
    <w:p>
      <w:pPr>
        <w:pStyle w:val="2"/>
        <w:rPr>
          <w:rFonts w:ascii="Times New Roman" w:hAnsi="Times New Roman" w:cs="Times New Roman"/>
          <w:b/>
          <w:color w:val="auto"/>
          <w:sz w:val="36"/>
          <w:szCs w:val="36"/>
        </w:rPr>
      </w:pPr>
    </w:p>
    <w:p>
      <w:pPr>
        <w:pStyle w:val="2"/>
        <w:rPr>
          <w:rFonts w:ascii="Times New Roman" w:hAnsi="Times New Roman" w:cs="Times New Roman"/>
          <w:b/>
          <w:color w:val="auto"/>
          <w:sz w:val="36"/>
          <w:szCs w:val="36"/>
        </w:rPr>
      </w:pPr>
    </w:p>
    <w:p>
      <w:pPr>
        <w:pStyle w:val="2"/>
        <w:rPr>
          <w:rFonts w:ascii="Times New Roman" w:hAnsi="Times New Roman" w:cs="Times New Roman"/>
          <w:b/>
          <w:color w:val="auto"/>
          <w:sz w:val="36"/>
          <w:szCs w:val="36"/>
        </w:rPr>
      </w:pPr>
    </w:p>
    <w:p>
      <w:pPr>
        <w:pStyle w:val="2"/>
        <w:rPr>
          <w:rFonts w:ascii="Times New Roman" w:hAnsi="Times New Roman" w:cs="Times New Roman"/>
          <w:b/>
          <w:color w:val="auto"/>
          <w:sz w:val="36"/>
          <w:szCs w:val="36"/>
        </w:rPr>
      </w:pPr>
    </w:p>
    <w:p>
      <w:pPr>
        <w:pStyle w:val="2"/>
        <w:rPr>
          <w:rFonts w:ascii="Times New Roman" w:hAnsi="Times New Roman" w:cs="Times New Roman"/>
          <w:b/>
          <w:color w:val="auto"/>
          <w:sz w:val="36"/>
          <w:szCs w:val="36"/>
        </w:rPr>
      </w:pPr>
    </w:p>
    <w:p>
      <w:pPr>
        <w:pStyle w:val="2"/>
        <w:rPr>
          <w:rFonts w:ascii="Times New Roman" w:hAnsi="Times New Roman" w:cs="Times New Roman"/>
          <w:b/>
          <w:color w:val="auto"/>
          <w:sz w:val="36"/>
          <w:szCs w:val="36"/>
        </w:rPr>
      </w:pPr>
    </w:p>
    <w:p>
      <w:pPr>
        <w:pStyle w:val="2"/>
        <w:ind w:left="0" w:leftChars="0" w:firstLine="0" w:firstLineChars="0"/>
        <w:rPr>
          <w:rFonts w:ascii="Times New Roman" w:hAnsi="Times New Roman" w:cs="Times New Roman"/>
          <w:b/>
          <w:color w:val="auto"/>
          <w:sz w:val="36"/>
          <w:szCs w:val="36"/>
        </w:rPr>
      </w:pPr>
    </w:p>
    <w:p>
      <w:pPr>
        <w:pStyle w:val="2"/>
        <w:rPr>
          <w:rFonts w:ascii="Times New Roman" w:hAnsi="Times New Roman" w:cs="Times New Roman"/>
          <w:b/>
          <w:color w:val="auto"/>
          <w:sz w:val="36"/>
          <w:szCs w:val="36"/>
        </w:rPr>
      </w:pPr>
    </w:p>
    <w:p>
      <w:pPr>
        <w:adjustRightInd w:val="0"/>
        <w:snapToGrid w:val="0"/>
        <w:spacing w:line="440" w:lineRule="exact"/>
        <w:jc w:val="both"/>
        <w:outlineLvl w:val="0"/>
        <w:rPr>
          <w:rFonts w:ascii="Times New Roman" w:hAnsi="Times New Roman" w:cs="Times New Roman"/>
          <w:b/>
          <w:color w:val="auto"/>
          <w:sz w:val="36"/>
          <w:szCs w:val="36"/>
        </w:rPr>
      </w:pPr>
    </w:p>
    <w:p>
      <w:pPr>
        <w:pStyle w:val="2"/>
        <w:rPr>
          <w:color w:val="auto"/>
        </w:rPr>
      </w:pPr>
    </w:p>
    <w:p>
      <w:pPr>
        <w:rPr>
          <w:rFonts w:ascii="Times New Roman" w:hAnsi="Times New Roman" w:cs="Times New Roman"/>
          <w:b/>
          <w:color w:val="auto"/>
          <w:sz w:val="36"/>
          <w:szCs w:val="36"/>
        </w:rPr>
      </w:pPr>
      <w:r>
        <w:rPr>
          <w:rFonts w:ascii="Times New Roman" w:hAnsi="Times New Roman" w:cs="Times New Roman"/>
          <w:b/>
          <w:color w:val="auto"/>
          <w:sz w:val="36"/>
          <w:szCs w:val="36"/>
        </w:rPr>
        <w:br w:type="page"/>
      </w:r>
    </w:p>
    <w:p>
      <w:pPr>
        <w:adjustRightInd w:val="0"/>
        <w:snapToGrid w:val="0"/>
        <w:spacing w:line="440" w:lineRule="exact"/>
        <w:jc w:val="center"/>
        <w:outlineLvl w:val="0"/>
        <w:rPr>
          <w:rFonts w:ascii="Times New Roman" w:hAnsi="Times New Roman" w:cs="Times New Roman"/>
          <w:b/>
          <w:color w:val="auto"/>
          <w:sz w:val="36"/>
          <w:szCs w:val="36"/>
        </w:rPr>
      </w:pPr>
      <w:r>
        <w:rPr>
          <w:rFonts w:ascii="Times New Roman" w:hAnsi="Times New Roman" w:cs="Times New Roman"/>
          <w:b/>
          <w:color w:val="auto"/>
          <w:sz w:val="36"/>
          <w:szCs w:val="36"/>
        </w:rPr>
        <w:t>第四章  评审办法及评分标准</w:t>
      </w:r>
    </w:p>
    <w:p>
      <w:pPr>
        <w:adjustRightInd w:val="0"/>
        <w:snapToGrid w:val="0"/>
        <w:spacing w:line="440" w:lineRule="exact"/>
        <w:jc w:val="left"/>
        <w:outlineLvl w:val="0"/>
        <w:rPr>
          <w:rFonts w:ascii="Times New Roman" w:hAnsi="Times New Roman" w:cs="Times New Roman"/>
          <w:b/>
          <w:color w:val="auto"/>
          <w:sz w:val="36"/>
          <w:szCs w:val="36"/>
        </w:rPr>
      </w:pPr>
      <w:r>
        <w:rPr>
          <w:rFonts w:ascii="宋体" w:hAnsi="宋体"/>
          <w:color w:val="auto"/>
          <w:sz w:val="24"/>
        </w:rPr>
        <w:t>本次评标采用综合评分法，总分100分。其中</w:t>
      </w:r>
      <w:r>
        <w:rPr>
          <w:rFonts w:hint="eastAsia" w:ascii="宋体" w:hAnsi="宋体"/>
          <w:color w:val="auto"/>
          <w:sz w:val="24"/>
        </w:rPr>
        <w:t>综合标30</w:t>
      </w:r>
      <w:r>
        <w:rPr>
          <w:rFonts w:ascii="宋体" w:hAnsi="宋体"/>
          <w:color w:val="auto"/>
          <w:sz w:val="24"/>
        </w:rPr>
        <w:t>分，技术</w:t>
      </w:r>
      <w:r>
        <w:rPr>
          <w:rFonts w:hint="eastAsia" w:ascii="宋体" w:hAnsi="宋体"/>
          <w:color w:val="auto"/>
          <w:sz w:val="24"/>
        </w:rPr>
        <w:t>标4</w:t>
      </w:r>
      <w:r>
        <w:rPr>
          <w:rFonts w:ascii="宋体" w:hAnsi="宋体"/>
          <w:color w:val="auto"/>
          <w:sz w:val="24"/>
        </w:rPr>
        <w:t>0分，</w:t>
      </w:r>
      <w:r>
        <w:rPr>
          <w:rFonts w:hint="eastAsia" w:ascii="宋体" w:hAnsi="宋体"/>
          <w:color w:val="auto"/>
          <w:sz w:val="24"/>
        </w:rPr>
        <w:t>商务标30</w:t>
      </w:r>
      <w:r>
        <w:rPr>
          <w:rFonts w:ascii="宋体" w:hAnsi="宋体"/>
          <w:color w:val="auto"/>
          <w:sz w:val="24"/>
        </w:rPr>
        <w:t xml:space="preserve">分 </w:t>
      </w:r>
      <w:r>
        <w:rPr>
          <w:rFonts w:hint="eastAsia" w:ascii="宋体" w:hAnsi="宋体"/>
          <w:color w:val="auto"/>
          <w:sz w:val="24"/>
        </w:rPr>
        <w:t>。</w:t>
      </w:r>
    </w:p>
    <w:tbl>
      <w:tblPr>
        <w:tblStyle w:val="10"/>
        <w:tblW w:w="9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6"/>
        <w:gridCol w:w="2400"/>
        <w:gridCol w:w="1065"/>
        <w:gridCol w:w="4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506" w:type="dxa"/>
            <w:tcBorders>
              <w:top w:val="single" w:color="auto" w:sz="4" w:space="0"/>
              <w:left w:val="single" w:color="auto" w:sz="4" w:space="0"/>
              <w:right w:val="single" w:color="auto" w:sz="4" w:space="0"/>
            </w:tcBorders>
            <w:vAlign w:val="center"/>
          </w:tcPr>
          <w:p>
            <w:pPr>
              <w:spacing w:line="320" w:lineRule="exact"/>
              <w:ind w:left="-57" w:right="-57"/>
              <w:jc w:val="center"/>
              <w:rPr>
                <w:rFonts w:ascii="宋体" w:hAnsi="宋体"/>
                <w:color w:val="auto"/>
                <w:sz w:val="24"/>
              </w:rPr>
            </w:pPr>
            <w:r>
              <w:rPr>
                <w:rFonts w:hint="eastAsia" w:ascii="宋体" w:hAnsi="宋体"/>
                <w:color w:val="auto"/>
                <w:sz w:val="24"/>
              </w:rPr>
              <w:t>序号</w:t>
            </w:r>
          </w:p>
        </w:tc>
        <w:tc>
          <w:tcPr>
            <w:tcW w:w="2400" w:type="dxa"/>
            <w:tcBorders>
              <w:top w:val="single" w:color="auto" w:sz="4" w:space="0"/>
              <w:left w:val="single" w:color="auto" w:sz="4" w:space="0"/>
              <w:right w:val="single" w:color="auto" w:sz="4" w:space="0"/>
            </w:tcBorders>
            <w:vAlign w:val="center"/>
          </w:tcPr>
          <w:p>
            <w:pPr>
              <w:spacing w:line="320" w:lineRule="exact"/>
              <w:jc w:val="center"/>
              <w:rPr>
                <w:rFonts w:ascii="宋体" w:hAnsi="宋体"/>
                <w:color w:val="auto"/>
                <w:sz w:val="24"/>
              </w:rPr>
            </w:pPr>
            <w:r>
              <w:rPr>
                <w:rFonts w:hint="eastAsia" w:ascii="宋体" w:hAnsi="宋体"/>
                <w:color w:val="auto"/>
                <w:sz w:val="24"/>
              </w:rPr>
              <w:t>评分项目</w:t>
            </w:r>
          </w:p>
        </w:tc>
        <w:tc>
          <w:tcPr>
            <w:tcW w:w="1065" w:type="dxa"/>
            <w:tcBorders>
              <w:top w:val="single" w:color="auto" w:sz="4" w:space="0"/>
              <w:left w:val="single" w:color="auto" w:sz="4" w:space="0"/>
              <w:right w:val="single" w:color="auto" w:sz="4" w:space="0"/>
            </w:tcBorders>
            <w:vAlign w:val="center"/>
          </w:tcPr>
          <w:p>
            <w:pPr>
              <w:spacing w:line="320" w:lineRule="exact"/>
              <w:ind w:left="-57" w:right="-57"/>
              <w:jc w:val="center"/>
              <w:rPr>
                <w:rFonts w:ascii="宋体" w:hAnsi="宋体"/>
                <w:color w:val="auto"/>
                <w:sz w:val="24"/>
              </w:rPr>
            </w:pPr>
            <w:r>
              <w:rPr>
                <w:rFonts w:hint="eastAsia" w:ascii="宋体" w:hAnsi="宋体"/>
                <w:color w:val="auto"/>
                <w:sz w:val="24"/>
              </w:rPr>
              <w:t>分值</w:t>
            </w:r>
          </w:p>
        </w:tc>
        <w:tc>
          <w:tcPr>
            <w:tcW w:w="4594" w:type="dxa"/>
            <w:tcBorders>
              <w:top w:val="single" w:color="auto" w:sz="4" w:space="0"/>
              <w:left w:val="single" w:color="auto" w:sz="4" w:space="0"/>
              <w:right w:val="single" w:color="auto" w:sz="4" w:space="0"/>
            </w:tcBorders>
            <w:vAlign w:val="center"/>
          </w:tcPr>
          <w:p>
            <w:pPr>
              <w:spacing w:line="320" w:lineRule="exact"/>
              <w:jc w:val="center"/>
              <w:rPr>
                <w:rFonts w:ascii="宋体" w:hAnsi="宋体"/>
                <w:color w:val="auto"/>
                <w:sz w:val="24"/>
              </w:rPr>
            </w:pPr>
            <w:r>
              <w:rPr>
                <w:rFonts w:hint="eastAsia" w:ascii="宋体" w:hAnsi="宋体"/>
                <w:color w:val="auto"/>
                <w:sz w:val="24"/>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06" w:type="dxa"/>
            <w:vMerge w:val="restart"/>
            <w:tcBorders>
              <w:left w:val="single" w:color="auto" w:sz="4" w:space="0"/>
              <w:right w:val="single" w:color="auto" w:sz="4" w:space="0"/>
            </w:tcBorders>
            <w:vAlign w:val="center"/>
          </w:tcPr>
          <w:p>
            <w:pPr>
              <w:spacing w:line="320" w:lineRule="exact"/>
              <w:jc w:val="center"/>
              <w:rPr>
                <w:rFonts w:ascii="宋体" w:hAnsi="宋体"/>
                <w:color w:val="auto"/>
                <w:sz w:val="24"/>
              </w:rPr>
            </w:pPr>
            <w:r>
              <w:rPr>
                <w:rFonts w:hint="eastAsia" w:ascii="宋体" w:hAnsi="宋体"/>
                <w:color w:val="auto"/>
                <w:sz w:val="24"/>
              </w:rPr>
              <w:t>1、综合评分30分</w:t>
            </w:r>
          </w:p>
          <w:p>
            <w:pPr>
              <w:spacing w:line="320" w:lineRule="exact"/>
              <w:jc w:val="center"/>
              <w:rPr>
                <w:rFonts w:ascii="宋体" w:hAnsi="宋体"/>
                <w:color w:val="auto"/>
                <w:sz w:val="24"/>
              </w:rPr>
            </w:pPr>
          </w:p>
          <w:p>
            <w:pPr>
              <w:spacing w:line="320" w:lineRule="exact"/>
              <w:jc w:val="center"/>
              <w:rPr>
                <w:rFonts w:ascii="宋体" w:hAnsi="宋体"/>
                <w:color w:val="auto"/>
                <w:sz w:val="24"/>
              </w:rPr>
            </w:pPr>
          </w:p>
          <w:p>
            <w:pPr>
              <w:spacing w:line="320" w:lineRule="exact"/>
              <w:jc w:val="center"/>
              <w:rPr>
                <w:rFonts w:ascii="宋体" w:hAnsi="宋体"/>
                <w:color w:val="auto"/>
                <w:sz w:val="24"/>
              </w:rPr>
            </w:pPr>
          </w:p>
        </w:tc>
        <w:tc>
          <w:tcPr>
            <w:tcW w:w="2400" w:type="dxa"/>
            <w:tcBorders>
              <w:top w:val="single" w:color="auto" w:sz="4" w:space="0"/>
              <w:left w:val="single" w:color="auto" w:sz="4" w:space="0"/>
              <w:right w:val="single" w:color="auto" w:sz="4" w:space="0"/>
            </w:tcBorders>
            <w:vAlign w:val="center"/>
          </w:tcPr>
          <w:p>
            <w:pPr>
              <w:spacing w:line="320" w:lineRule="exact"/>
              <w:ind w:left="-57" w:right="-57"/>
              <w:jc w:val="center"/>
              <w:rPr>
                <w:rFonts w:ascii="宋体" w:hAnsi="宋体"/>
                <w:color w:val="auto"/>
                <w:sz w:val="24"/>
              </w:rPr>
            </w:pPr>
            <w:r>
              <w:rPr>
                <w:rFonts w:hint="eastAsia" w:ascii="宋体" w:hAnsi="宋体"/>
                <w:color w:val="auto"/>
                <w:sz w:val="24"/>
              </w:rPr>
              <w:t>企业业绩</w:t>
            </w:r>
          </w:p>
        </w:tc>
        <w:tc>
          <w:tcPr>
            <w:tcW w:w="1065" w:type="dxa"/>
            <w:tcBorders>
              <w:top w:val="single" w:color="auto" w:sz="4" w:space="0"/>
              <w:left w:val="single" w:color="auto" w:sz="4" w:space="0"/>
              <w:right w:val="single" w:color="auto" w:sz="4" w:space="0"/>
            </w:tcBorders>
            <w:vAlign w:val="center"/>
          </w:tcPr>
          <w:p>
            <w:pPr>
              <w:spacing w:line="320" w:lineRule="exact"/>
              <w:jc w:val="center"/>
              <w:rPr>
                <w:rFonts w:ascii="宋体" w:hAnsi="宋体"/>
                <w:color w:val="auto"/>
                <w:sz w:val="24"/>
              </w:rPr>
            </w:pPr>
            <w:r>
              <w:rPr>
                <w:rFonts w:hint="eastAsia" w:ascii="宋体" w:hAnsi="宋体"/>
                <w:color w:val="auto"/>
                <w:sz w:val="24"/>
              </w:rPr>
              <w:t>10分</w:t>
            </w:r>
          </w:p>
        </w:tc>
        <w:tc>
          <w:tcPr>
            <w:tcW w:w="4594" w:type="dxa"/>
            <w:tcBorders>
              <w:top w:val="single" w:color="auto" w:sz="4" w:space="0"/>
              <w:left w:val="single" w:color="auto" w:sz="4" w:space="0"/>
              <w:right w:val="single" w:color="auto" w:sz="4" w:space="0"/>
            </w:tcBorders>
          </w:tcPr>
          <w:p>
            <w:pPr>
              <w:spacing w:line="240" w:lineRule="auto"/>
              <w:rPr>
                <w:rFonts w:ascii="宋体" w:hAnsi="宋体"/>
                <w:color w:val="auto"/>
                <w:sz w:val="24"/>
              </w:rPr>
            </w:pPr>
            <w:r>
              <w:rPr>
                <w:rFonts w:hint="eastAsia" w:ascii="宋体" w:hAnsi="宋体"/>
                <w:color w:val="auto"/>
                <w:sz w:val="24"/>
              </w:rPr>
              <w:t>投标人近三年内有一项类似项目业绩得4分，具有类似项目每多一个加2分，最多加6分。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506" w:type="dxa"/>
            <w:vMerge w:val="continue"/>
            <w:tcBorders>
              <w:left w:val="single" w:color="auto" w:sz="4" w:space="0"/>
              <w:right w:val="single" w:color="auto" w:sz="4" w:space="0"/>
            </w:tcBorders>
            <w:vAlign w:val="center"/>
          </w:tcPr>
          <w:p>
            <w:pPr>
              <w:spacing w:line="320" w:lineRule="exact"/>
              <w:jc w:val="center"/>
              <w:rPr>
                <w:rFonts w:ascii="宋体" w:hAnsi="宋体"/>
                <w:color w:val="auto"/>
                <w:sz w:val="24"/>
              </w:rPr>
            </w:pPr>
          </w:p>
        </w:tc>
        <w:tc>
          <w:tcPr>
            <w:tcW w:w="2400" w:type="dxa"/>
            <w:tcBorders>
              <w:top w:val="single" w:color="auto" w:sz="4" w:space="0"/>
              <w:left w:val="single" w:color="auto" w:sz="4" w:space="0"/>
              <w:right w:val="single" w:color="auto" w:sz="4" w:space="0"/>
            </w:tcBorders>
            <w:vAlign w:val="center"/>
          </w:tcPr>
          <w:p>
            <w:pPr>
              <w:spacing w:line="320" w:lineRule="exact"/>
              <w:jc w:val="center"/>
              <w:rPr>
                <w:rFonts w:ascii="宋体" w:hAnsi="宋体"/>
                <w:color w:val="auto"/>
                <w:sz w:val="24"/>
              </w:rPr>
            </w:pPr>
            <w:r>
              <w:rPr>
                <w:rFonts w:hint="eastAsia" w:ascii="宋体" w:hAnsi="宋体"/>
                <w:color w:val="auto"/>
                <w:sz w:val="24"/>
              </w:rPr>
              <w:t>项目负责人</w:t>
            </w:r>
          </w:p>
        </w:tc>
        <w:tc>
          <w:tcPr>
            <w:tcW w:w="1065" w:type="dxa"/>
            <w:tcBorders>
              <w:top w:val="single" w:color="auto" w:sz="4" w:space="0"/>
              <w:left w:val="single" w:color="auto" w:sz="4" w:space="0"/>
              <w:right w:val="single" w:color="auto" w:sz="4" w:space="0"/>
            </w:tcBorders>
            <w:vAlign w:val="center"/>
          </w:tcPr>
          <w:p>
            <w:pPr>
              <w:spacing w:line="320" w:lineRule="exact"/>
              <w:jc w:val="center"/>
              <w:rPr>
                <w:rFonts w:ascii="宋体" w:hAnsi="宋体"/>
                <w:color w:val="auto"/>
                <w:sz w:val="24"/>
              </w:rPr>
            </w:pPr>
            <w:r>
              <w:rPr>
                <w:rFonts w:hint="eastAsia" w:ascii="宋体" w:hAnsi="宋体"/>
                <w:color w:val="auto"/>
                <w:sz w:val="24"/>
              </w:rPr>
              <w:t>10分</w:t>
            </w:r>
          </w:p>
        </w:tc>
        <w:tc>
          <w:tcPr>
            <w:tcW w:w="4594" w:type="dxa"/>
            <w:tcBorders>
              <w:top w:val="single" w:color="auto" w:sz="4" w:space="0"/>
              <w:left w:val="single" w:color="auto" w:sz="4" w:space="0"/>
              <w:right w:val="single" w:color="auto" w:sz="4" w:space="0"/>
            </w:tcBorders>
          </w:tcPr>
          <w:p>
            <w:pPr>
              <w:spacing w:line="240" w:lineRule="auto"/>
              <w:rPr>
                <w:rFonts w:ascii="宋体" w:hAnsi="宋体"/>
                <w:color w:val="auto"/>
                <w:sz w:val="24"/>
              </w:rPr>
            </w:pPr>
            <w:r>
              <w:rPr>
                <w:rFonts w:hint="eastAsia" w:ascii="宋体" w:hAnsi="宋体"/>
                <w:color w:val="auto"/>
                <w:sz w:val="24"/>
              </w:rPr>
              <w:t>项目负责人近三年内有一个类似项目经验，得4分，具有类似项目每多一个加2分，最多加6分。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1506" w:type="dxa"/>
            <w:vMerge w:val="continue"/>
            <w:tcBorders>
              <w:left w:val="single" w:color="auto" w:sz="4" w:space="0"/>
              <w:right w:val="single" w:color="auto" w:sz="4" w:space="0"/>
            </w:tcBorders>
            <w:vAlign w:val="center"/>
          </w:tcPr>
          <w:p>
            <w:pPr>
              <w:spacing w:line="320" w:lineRule="exact"/>
              <w:jc w:val="center"/>
              <w:rPr>
                <w:rFonts w:ascii="宋体" w:hAnsi="宋体"/>
                <w:color w:val="auto"/>
                <w:sz w:val="24"/>
              </w:rPr>
            </w:pPr>
          </w:p>
        </w:tc>
        <w:tc>
          <w:tcPr>
            <w:tcW w:w="2400" w:type="dxa"/>
            <w:tcBorders>
              <w:top w:val="single" w:color="auto" w:sz="4" w:space="0"/>
              <w:left w:val="single" w:color="auto" w:sz="4" w:space="0"/>
              <w:right w:val="single" w:color="auto" w:sz="4" w:space="0"/>
            </w:tcBorders>
            <w:vAlign w:val="center"/>
          </w:tcPr>
          <w:p>
            <w:pPr>
              <w:spacing w:line="320" w:lineRule="exact"/>
              <w:jc w:val="center"/>
              <w:rPr>
                <w:rFonts w:ascii="宋体" w:hAnsi="宋体"/>
                <w:color w:val="auto"/>
                <w:sz w:val="24"/>
              </w:rPr>
            </w:pPr>
            <w:r>
              <w:rPr>
                <w:rFonts w:hint="eastAsia" w:ascii="宋体" w:hAnsi="宋体"/>
                <w:color w:val="auto"/>
                <w:sz w:val="24"/>
              </w:rPr>
              <w:t>主要专业人员配备</w:t>
            </w:r>
          </w:p>
        </w:tc>
        <w:tc>
          <w:tcPr>
            <w:tcW w:w="1065" w:type="dxa"/>
            <w:tcBorders>
              <w:top w:val="single" w:color="auto" w:sz="4" w:space="0"/>
              <w:left w:val="single" w:color="auto" w:sz="4" w:space="0"/>
              <w:right w:val="single" w:color="auto" w:sz="4" w:space="0"/>
            </w:tcBorders>
            <w:vAlign w:val="center"/>
          </w:tcPr>
          <w:p>
            <w:pPr>
              <w:spacing w:line="320" w:lineRule="exact"/>
              <w:jc w:val="center"/>
              <w:rPr>
                <w:rFonts w:ascii="宋体" w:hAnsi="宋体"/>
                <w:color w:val="auto"/>
                <w:sz w:val="24"/>
              </w:rPr>
            </w:pPr>
            <w:r>
              <w:rPr>
                <w:rFonts w:hint="eastAsia" w:ascii="宋体" w:hAnsi="宋体"/>
                <w:color w:val="auto"/>
                <w:sz w:val="24"/>
              </w:rPr>
              <w:t>10分</w:t>
            </w:r>
          </w:p>
        </w:tc>
        <w:tc>
          <w:tcPr>
            <w:tcW w:w="4594" w:type="dxa"/>
            <w:tcBorders>
              <w:top w:val="single" w:color="auto" w:sz="4" w:space="0"/>
              <w:left w:val="single" w:color="auto" w:sz="4" w:space="0"/>
              <w:right w:val="single" w:color="auto" w:sz="4" w:space="0"/>
            </w:tcBorders>
          </w:tcPr>
          <w:p>
            <w:pPr>
              <w:spacing w:line="240" w:lineRule="auto"/>
              <w:rPr>
                <w:rFonts w:ascii="宋体" w:hAnsi="宋体"/>
                <w:color w:val="auto"/>
                <w:sz w:val="24"/>
              </w:rPr>
            </w:pPr>
            <w:r>
              <w:rPr>
                <w:rFonts w:hint="eastAsia" w:ascii="宋体" w:hAnsi="宋体"/>
                <w:color w:val="auto"/>
                <w:sz w:val="24"/>
              </w:rPr>
              <w:t>主要专业人员配备齐全且近三年内有类似项目经验5-10分；近三年内无类似项目经验0分。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506" w:type="dxa"/>
            <w:vMerge w:val="restart"/>
            <w:tcBorders>
              <w:left w:val="single" w:color="auto" w:sz="4" w:space="0"/>
              <w:right w:val="single" w:color="auto" w:sz="4" w:space="0"/>
            </w:tcBorders>
            <w:vAlign w:val="center"/>
          </w:tcPr>
          <w:p>
            <w:pPr>
              <w:spacing w:line="320" w:lineRule="exact"/>
              <w:jc w:val="both"/>
              <w:rPr>
                <w:rFonts w:ascii="宋体" w:hAnsi="宋体"/>
                <w:color w:val="auto"/>
                <w:sz w:val="24"/>
              </w:rPr>
            </w:pPr>
            <w:r>
              <w:rPr>
                <w:rFonts w:hint="eastAsia" w:ascii="宋体" w:hAnsi="宋体"/>
                <w:color w:val="auto"/>
                <w:sz w:val="24"/>
              </w:rPr>
              <w:t>2、技术评审</w:t>
            </w:r>
          </w:p>
          <w:p>
            <w:pPr>
              <w:spacing w:line="320" w:lineRule="exact"/>
              <w:jc w:val="center"/>
              <w:rPr>
                <w:rFonts w:ascii="宋体" w:hAnsi="宋体"/>
                <w:color w:val="auto"/>
                <w:sz w:val="24"/>
              </w:rPr>
            </w:pPr>
            <w:r>
              <w:rPr>
                <w:rFonts w:hint="eastAsia" w:ascii="宋体" w:hAnsi="宋体"/>
                <w:color w:val="auto"/>
                <w:sz w:val="24"/>
              </w:rPr>
              <w:t>4</w:t>
            </w:r>
            <w:r>
              <w:rPr>
                <w:rFonts w:ascii="宋体" w:hAnsi="宋体"/>
                <w:color w:val="auto"/>
                <w:sz w:val="24"/>
              </w:rPr>
              <w:t>0</w:t>
            </w:r>
            <w:r>
              <w:rPr>
                <w:rFonts w:hint="eastAsia" w:ascii="宋体" w:hAnsi="宋体"/>
                <w:color w:val="auto"/>
                <w:sz w:val="24"/>
              </w:rPr>
              <w:t>分</w:t>
            </w:r>
          </w:p>
        </w:tc>
        <w:tc>
          <w:tcPr>
            <w:tcW w:w="2400" w:type="dxa"/>
            <w:tcBorders>
              <w:top w:val="single" w:color="auto" w:sz="4" w:space="0"/>
              <w:left w:val="single" w:color="auto" w:sz="4" w:space="0"/>
              <w:right w:val="single" w:color="auto" w:sz="4" w:space="0"/>
            </w:tcBorders>
            <w:vAlign w:val="center"/>
          </w:tcPr>
          <w:p>
            <w:pPr>
              <w:spacing w:line="320" w:lineRule="exact"/>
              <w:jc w:val="center"/>
              <w:rPr>
                <w:rFonts w:ascii="宋体" w:hAnsi="宋体"/>
                <w:color w:val="auto"/>
                <w:sz w:val="24"/>
              </w:rPr>
            </w:pPr>
            <w:r>
              <w:rPr>
                <w:rFonts w:hint="eastAsia" w:ascii="宋体" w:hAnsi="宋体"/>
                <w:color w:val="auto"/>
                <w:sz w:val="24"/>
              </w:rPr>
              <w:t>养护方案</w:t>
            </w:r>
          </w:p>
        </w:tc>
        <w:tc>
          <w:tcPr>
            <w:tcW w:w="1065" w:type="dxa"/>
            <w:tcBorders>
              <w:top w:val="single" w:color="auto" w:sz="4" w:space="0"/>
              <w:left w:val="single" w:color="auto" w:sz="4" w:space="0"/>
              <w:right w:val="single" w:color="auto" w:sz="4" w:space="0"/>
            </w:tcBorders>
            <w:vAlign w:val="center"/>
          </w:tcPr>
          <w:p>
            <w:pPr>
              <w:spacing w:line="320" w:lineRule="exact"/>
              <w:jc w:val="center"/>
              <w:rPr>
                <w:rFonts w:ascii="宋体" w:hAnsi="宋体"/>
                <w:color w:val="auto"/>
                <w:sz w:val="24"/>
              </w:rPr>
            </w:pPr>
            <w:r>
              <w:rPr>
                <w:rFonts w:hint="eastAsia" w:ascii="宋体" w:hAnsi="宋体"/>
                <w:color w:val="auto"/>
                <w:sz w:val="24"/>
              </w:rPr>
              <w:t>10分</w:t>
            </w:r>
          </w:p>
        </w:tc>
        <w:tc>
          <w:tcPr>
            <w:tcW w:w="4594" w:type="dxa"/>
            <w:tcBorders>
              <w:top w:val="single" w:color="auto" w:sz="4" w:space="0"/>
              <w:left w:val="single" w:color="auto" w:sz="4" w:space="0"/>
              <w:right w:val="single" w:color="auto" w:sz="4" w:space="0"/>
            </w:tcBorders>
            <w:vAlign w:val="center"/>
          </w:tcPr>
          <w:p>
            <w:pPr>
              <w:spacing w:line="240" w:lineRule="auto"/>
              <w:jc w:val="center"/>
              <w:rPr>
                <w:rFonts w:ascii="宋体" w:hAnsi="宋体"/>
                <w:color w:val="auto"/>
                <w:sz w:val="24"/>
              </w:rPr>
            </w:pPr>
            <w:r>
              <w:rPr>
                <w:rFonts w:hint="eastAsia" w:ascii="宋体" w:hAnsi="宋体"/>
                <w:color w:val="auto"/>
                <w:sz w:val="24"/>
              </w:rPr>
              <w:t>按针对性、合理性、完整性酌情0-10分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06" w:type="dxa"/>
            <w:vMerge w:val="continue"/>
            <w:tcBorders>
              <w:left w:val="single" w:color="auto" w:sz="4" w:space="0"/>
              <w:right w:val="single" w:color="auto" w:sz="4" w:space="0"/>
            </w:tcBorders>
            <w:vAlign w:val="center"/>
          </w:tcPr>
          <w:p>
            <w:pPr>
              <w:spacing w:line="320" w:lineRule="exact"/>
              <w:jc w:val="center"/>
              <w:rPr>
                <w:rFonts w:ascii="宋体" w:hAnsi="宋体"/>
                <w:color w:val="auto"/>
                <w:sz w:val="24"/>
              </w:rPr>
            </w:pPr>
          </w:p>
        </w:tc>
        <w:tc>
          <w:tcPr>
            <w:tcW w:w="2400" w:type="dxa"/>
            <w:tcBorders>
              <w:top w:val="single" w:color="auto" w:sz="4" w:space="0"/>
              <w:left w:val="single" w:color="auto" w:sz="4" w:space="0"/>
              <w:right w:val="single" w:color="auto" w:sz="4" w:space="0"/>
            </w:tcBorders>
            <w:vAlign w:val="center"/>
          </w:tcPr>
          <w:p>
            <w:pPr>
              <w:spacing w:line="320" w:lineRule="exact"/>
              <w:jc w:val="center"/>
              <w:rPr>
                <w:rFonts w:ascii="宋体" w:hAnsi="宋体"/>
                <w:color w:val="auto"/>
                <w:sz w:val="24"/>
              </w:rPr>
            </w:pPr>
            <w:r>
              <w:rPr>
                <w:rFonts w:hint="eastAsia" w:ascii="宋体" w:hAnsi="宋体"/>
                <w:color w:val="auto"/>
                <w:sz w:val="24"/>
              </w:rPr>
              <w:t>养护安排计划及保障措施</w:t>
            </w:r>
          </w:p>
        </w:tc>
        <w:tc>
          <w:tcPr>
            <w:tcW w:w="1065" w:type="dxa"/>
            <w:tcBorders>
              <w:top w:val="single" w:color="auto" w:sz="4" w:space="0"/>
              <w:left w:val="single" w:color="auto" w:sz="4" w:space="0"/>
              <w:right w:val="single" w:color="auto" w:sz="4" w:space="0"/>
            </w:tcBorders>
            <w:vAlign w:val="center"/>
          </w:tcPr>
          <w:p>
            <w:pPr>
              <w:spacing w:line="320" w:lineRule="exact"/>
              <w:jc w:val="center"/>
              <w:rPr>
                <w:rFonts w:ascii="宋体" w:hAnsi="宋体"/>
                <w:color w:val="auto"/>
                <w:sz w:val="24"/>
              </w:rPr>
            </w:pPr>
            <w:r>
              <w:rPr>
                <w:rFonts w:hint="eastAsia" w:ascii="宋体" w:hAnsi="宋体"/>
                <w:color w:val="auto"/>
                <w:sz w:val="24"/>
              </w:rPr>
              <w:t>5分</w:t>
            </w:r>
          </w:p>
        </w:tc>
        <w:tc>
          <w:tcPr>
            <w:tcW w:w="4594" w:type="dxa"/>
            <w:tcBorders>
              <w:top w:val="single" w:color="auto" w:sz="4" w:space="0"/>
              <w:left w:val="single" w:color="auto" w:sz="4" w:space="0"/>
              <w:right w:val="single" w:color="auto" w:sz="4" w:space="0"/>
            </w:tcBorders>
            <w:vAlign w:val="center"/>
          </w:tcPr>
          <w:p>
            <w:pPr>
              <w:spacing w:line="240" w:lineRule="auto"/>
              <w:jc w:val="center"/>
              <w:rPr>
                <w:rFonts w:ascii="宋体" w:hAnsi="宋体"/>
                <w:color w:val="auto"/>
                <w:sz w:val="24"/>
              </w:rPr>
            </w:pPr>
            <w:r>
              <w:rPr>
                <w:rFonts w:hint="eastAsia" w:ascii="宋体" w:hAnsi="宋体"/>
                <w:color w:val="auto"/>
                <w:sz w:val="24"/>
              </w:rPr>
              <w:t>按针对性、合理性、完整性酌情0-5分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506" w:type="dxa"/>
            <w:vMerge w:val="continue"/>
            <w:tcBorders>
              <w:left w:val="single" w:color="auto" w:sz="4" w:space="0"/>
              <w:right w:val="single" w:color="auto" w:sz="4" w:space="0"/>
            </w:tcBorders>
            <w:vAlign w:val="center"/>
          </w:tcPr>
          <w:p>
            <w:pPr>
              <w:spacing w:line="320" w:lineRule="exact"/>
              <w:jc w:val="center"/>
              <w:rPr>
                <w:rFonts w:ascii="宋体" w:hAnsi="宋体"/>
                <w:color w:val="auto"/>
                <w:sz w:val="24"/>
              </w:rPr>
            </w:pPr>
          </w:p>
        </w:tc>
        <w:tc>
          <w:tcPr>
            <w:tcW w:w="2400" w:type="dxa"/>
            <w:tcBorders>
              <w:top w:val="single" w:color="auto" w:sz="4" w:space="0"/>
              <w:left w:val="sing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养护质量保证措施</w:t>
            </w:r>
          </w:p>
        </w:tc>
        <w:tc>
          <w:tcPr>
            <w:tcW w:w="1065" w:type="dxa"/>
            <w:tcBorders>
              <w:top w:val="single" w:color="auto" w:sz="4" w:space="0"/>
              <w:left w:val="single" w:color="auto" w:sz="4" w:space="0"/>
              <w:right w:val="single" w:color="auto" w:sz="4" w:space="0"/>
            </w:tcBorders>
            <w:vAlign w:val="center"/>
          </w:tcPr>
          <w:p>
            <w:pPr>
              <w:spacing w:line="320" w:lineRule="exact"/>
              <w:jc w:val="center"/>
              <w:rPr>
                <w:rFonts w:ascii="宋体" w:hAnsi="宋体"/>
                <w:color w:val="auto"/>
                <w:sz w:val="24"/>
              </w:rPr>
            </w:pPr>
            <w:r>
              <w:rPr>
                <w:rFonts w:hint="eastAsia" w:ascii="宋体" w:hAnsi="宋体"/>
                <w:color w:val="auto"/>
                <w:sz w:val="24"/>
              </w:rPr>
              <w:t>5分</w:t>
            </w:r>
          </w:p>
        </w:tc>
        <w:tc>
          <w:tcPr>
            <w:tcW w:w="4594" w:type="dxa"/>
            <w:tcBorders>
              <w:top w:val="single" w:color="auto" w:sz="4" w:space="0"/>
              <w:left w:val="single" w:color="auto" w:sz="4" w:space="0"/>
              <w:right w:val="single" w:color="auto" w:sz="4" w:space="0"/>
            </w:tcBorders>
            <w:vAlign w:val="center"/>
          </w:tcPr>
          <w:p>
            <w:pPr>
              <w:spacing w:line="240" w:lineRule="auto"/>
              <w:jc w:val="center"/>
              <w:rPr>
                <w:rFonts w:ascii="宋体" w:hAnsi="宋体"/>
                <w:color w:val="auto"/>
                <w:sz w:val="24"/>
              </w:rPr>
            </w:pPr>
            <w:r>
              <w:rPr>
                <w:rFonts w:hint="eastAsia" w:ascii="宋体" w:hAnsi="宋体"/>
                <w:color w:val="auto"/>
                <w:sz w:val="24"/>
              </w:rPr>
              <w:t>按针对性、合理性、完整性酌情0-5分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06" w:type="dxa"/>
            <w:vMerge w:val="continue"/>
            <w:tcBorders>
              <w:left w:val="single" w:color="auto" w:sz="4" w:space="0"/>
              <w:right w:val="single" w:color="auto" w:sz="4" w:space="0"/>
            </w:tcBorders>
            <w:vAlign w:val="center"/>
          </w:tcPr>
          <w:p>
            <w:pPr>
              <w:spacing w:line="320" w:lineRule="exact"/>
              <w:jc w:val="center"/>
              <w:rPr>
                <w:rFonts w:ascii="宋体" w:hAnsi="宋体"/>
                <w:color w:val="auto"/>
                <w:sz w:val="24"/>
              </w:rPr>
            </w:pPr>
          </w:p>
        </w:tc>
        <w:tc>
          <w:tcPr>
            <w:tcW w:w="2400" w:type="dxa"/>
            <w:tcBorders>
              <w:left w:val="single" w:color="auto" w:sz="4" w:space="0"/>
              <w:right w:val="single" w:color="auto" w:sz="4" w:space="0"/>
            </w:tcBorders>
            <w:vAlign w:val="center"/>
          </w:tcPr>
          <w:p>
            <w:pPr>
              <w:spacing w:line="320" w:lineRule="exact"/>
              <w:jc w:val="center"/>
              <w:rPr>
                <w:rFonts w:ascii="宋体" w:hAnsi="宋体"/>
                <w:color w:val="auto"/>
                <w:sz w:val="24"/>
              </w:rPr>
            </w:pPr>
            <w:r>
              <w:rPr>
                <w:rFonts w:hint="eastAsia" w:ascii="宋体" w:hAnsi="宋体"/>
                <w:color w:val="auto"/>
                <w:sz w:val="24"/>
              </w:rPr>
              <w:t>确保文明施工的措施</w:t>
            </w:r>
          </w:p>
        </w:tc>
        <w:tc>
          <w:tcPr>
            <w:tcW w:w="1065" w:type="dxa"/>
            <w:tcBorders>
              <w:top w:val="single" w:color="auto" w:sz="4" w:space="0"/>
              <w:left w:val="single" w:color="auto" w:sz="4" w:space="0"/>
              <w:right w:val="single" w:color="auto" w:sz="4" w:space="0"/>
            </w:tcBorders>
            <w:vAlign w:val="center"/>
          </w:tcPr>
          <w:p>
            <w:pPr>
              <w:spacing w:line="320" w:lineRule="exact"/>
              <w:jc w:val="center"/>
              <w:rPr>
                <w:rFonts w:ascii="宋体" w:hAnsi="宋体"/>
                <w:color w:val="auto"/>
                <w:sz w:val="24"/>
              </w:rPr>
            </w:pPr>
            <w:r>
              <w:rPr>
                <w:rFonts w:hint="eastAsia" w:ascii="宋体" w:hAnsi="宋体"/>
                <w:color w:val="auto"/>
                <w:sz w:val="24"/>
              </w:rPr>
              <w:t>5分</w:t>
            </w:r>
          </w:p>
        </w:tc>
        <w:tc>
          <w:tcPr>
            <w:tcW w:w="4594" w:type="dxa"/>
            <w:tcBorders>
              <w:top w:val="single" w:color="auto" w:sz="4" w:space="0"/>
              <w:left w:val="single" w:color="auto" w:sz="4" w:space="0"/>
              <w:right w:val="single" w:color="auto" w:sz="4" w:space="0"/>
            </w:tcBorders>
            <w:vAlign w:val="center"/>
          </w:tcPr>
          <w:p>
            <w:pPr>
              <w:spacing w:line="240" w:lineRule="auto"/>
              <w:jc w:val="center"/>
              <w:rPr>
                <w:rFonts w:ascii="宋体" w:hAnsi="宋体"/>
                <w:color w:val="auto"/>
                <w:sz w:val="24"/>
              </w:rPr>
            </w:pPr>
            <w:r>
              <w:rPr>
                <w:rFonts w:hint="eastAsia" w:ascii="宋体" w:hAnsi="宋体"/>
                <w:color w:val="auto"/>
                <w:sz w:val="24"/>
              </w:rPr>
              <w:t>按针对性、合理性、完整性酌情0-5分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06" w:type="dxa"/>
            <w:vMerge w:val="continue"/>
            <w:tcBorders>
              <w:left w:val="single" w:color="auto" w:sz="4" w:space="0"/>
              <w:right w:val="single" w:color="auto" w:sz="4" w:space="0"/>
            </w:tcBorders>
            <w:vAlign w:val="center"/>
          </w:tcPr>
          <w:p>
            <w:pPr>
              <w:spacing w:line="320" w:lineRule="exact"/>
              <w:jc w:val="center"/>
              <w:rPr>
                <w:rFonts w:ascii="宋体" w:hAnsi="宋体"/>
                <w:color w:val="auto"/>
                <w:sz w:val="24"/>
              </w:rPr>
            </w:pPr>
          </w:p>
        </w:tc>
        <w:tc>
          <w:tcPr>
            <w:tcW w:w="2400" w:type="dxa"/>
            <w:tcBorders>
              <w:left w:val="single" w:color="auto" w:sz="4" w:space="0"/>
              <w:right w:val="single" w:color="auto" w:sz="4" w:space="0"/>
            </w:tcBorders>
            <w:vAlign w:val="center"/>
          </w:tcPr>
          <w:p>
            <w:pPr>
              <w:spacing w:line="320" w:lineRule="exact"/>
              <w:jc w:val="center"/>
              <w:rPr>
                <w:rFonts w:ascii="宋体" w:hAnsi="宋体"/>
                <w:color w:val="auto"/>
                <w:sz w:val="24"/>
              </w:rPr>
            </w:pPr>
            <w:r>
              <w:rPr>
                <w:rFonts w:hint="eastAsia" w:ascii="宋体" w:hAnsi="宋体"/>
                <w:color w:val="auto"/>
                <w:sz w:val="24"/>
              </w:rPr>
              <w:t>确保安全生产的技术组织措施</w:t>
            </w:r>
          </w:p>
        </w:tc>
        <w:tc>
          <w:tcPr>
            <w:tcW w:w="1065" w:type="dxa"/>
            <w:tcBorders>
              <w:top w:val="single" w:color="auto" w:sz="4" w:space="0"/>
              <w:left w:val="single" w:color="auto" w:sz="4" w:space="0"/>
              <w:right w:val="single" w:color="auto" w:sz="4" w:space="0"/>
            </w:tcBorders>
            <w:vAlign w:val="center"/>
          </w:tcPr>
          <w:p>
            <w:pPr>
              <w:spacing w:line="320" w:lineRule="exact"/>
              <w:jc w:val="center"/>
              <w:rPr>
                <w:rFonts w:ascii="宋体" w:hAnsi="宋体"/>
                <w:color w:val="auto"/>
                <w:sz w:val="24"/>
              </w:rPr>
            </w:pPr>
            <w:r>
              <w:rPr>
                <w:rFonts w:hint="eastAsia" w:ascii="宋体" w:hAnsi="宋体"/>
                <w:color w:val="auto"/>
                <w:sz w:val="24"/>
              </w:rPr>
              <w:t>5分</w:t>
            </w:r>
          </w:p>
        </w:tc>
        <w:tc>
          <w:tcPr>
            <w:tcW w:w="4594" w:type="dxa"/>
            <w:tcBorders>
              <w:top w:val="single" w:color="auto" w:sz="4" w:space="0"/>
              <w:left w:val="single" w:color="auto" w:sz="4" w:space="0"/>
              <w:right w:val="single" w:color="auto" w:sz="4" w:space="0"/>
            </w:tcBorders>
            <w:vAlign w:val="center"/>
          </w:tcPr>
          <w:p>
            <w:pPr>
              <w:spacing w:line="240" w:lineRule="auto"/>
              <w:jc w:val="center"/>
              <w:rPr>
                <w:rFonts w:ascii="宋体" w:hAnsi="宋体"/>
                <w:color w:val="auto"/>
                <w:sz w:val="24"/>
              </w:rPr>
            </w:pPr>
            <w:r>
              <w:rPr>
                <w:rFonts w:hint="eastAsia" w:ascii="宋体" w:hAnsi="宋体"/>
                <w:color w:val="auto"/>
                <w:sz w:val="24"/>
              </w:rPr>
              <w:t>按针对性、合理性、完整性酌情0-5分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506" w:type="dxa"/>
            <w:vMerge w:val="continue"/>
            <w:tcBorders>
              <w:left w:val="single" w:color="auto" w:sz="4" w:space="0"/>
              <w:right w:val="single" w:color="auto" w:sz="4" w:space="0"/>
            </w:tcBorders>
            <w:vAlign w:val="center"/>
          </w:tcPr>
          <w:p>
            <w:pPr>
              <w:spacing w:line="320" w:lineRule="exact"/>
              <w:jc w:val="center"/>
              <w:rPr>
                <w:rFonts w:ascii="宋体" w:hAnsi="宋体"/>
                <w:color w:val="auto"/>
                <w:sz w:val="24"/>
              </w:rPr>
            </w:pPr>
          </w:p>
        </w:tc>
        <w:tc>
          <w:tcPr>
            <w:tcW w:w="2400" w:type="dxa"/>
            <w:tcBorders>
              <w:left w:val="single" w:color="auto" w:sz="4" w:space="0"/>
              <w:right w:val="single" w:color="auto" w:sz="4" w:space="0"/>
            </w:tcBorders>
            <w:vAlign w:val="center"/>
          </w:tcPr>
          <w:p>
            <w:pPr>
              <w:spacing w:line="320" w:lineRule="exact"/>
              <w:jc w:val="center"/>
              <w:rPr>
                <w:rFonts w:ascii="宋体" w:hAnsi="宋体"/>
                <w:color w:val="auto"/>
                <w:sz w:val="24"/>
              </w:rPr>
            </w:pPr>
            <w:r>
              <w:rPr>
                <w:rFonts w:hint="eastAsia" w:ascii="宋体" w:hAnsi="宋体"/>
                <w:color w:val="auto"/>
                <w:sz w:val="24"/>
              </w:rPr>
              <w:t>拟投入的机具设备</w:t>
            </w:r>
          </w:p>
        </w:tc>
        <w:tc>
          <w:tcPr>
            <w:tcW w:w="1065" w:type="dxa"/>
            <w:tcBorders>
              <w:left w:val="single" w:color="auto" w:sz="4" w:space="0"/>
              <w:right w:val="single" w:color="auto" w:sz="4" w:space="0"/>
            </w:tcBorders>
            <w:vAlign w:val="center"/>
          </w:tcPr>
          <w:p>
            <w:pPr>
              <w:spacing w:line="320" w:lineRule="exact"/>
              <w:jc w:val="center"/>
              <w:rPr>
                <w:rFonts w:ascii="宋体" w:hAnsi="宋体"/>
                <w:color w:val="auto"/>
                <w:sz w:val="24"/>
              </w:rPr>
            </w:pPr>
            <w:r>
              <w:rPr>
                <w:rFonts w:hint="eastAsia" w:ascii="宋体" w:hAnsi="宋体"/>
                <w:color w:val="auto"/>
                <w:sz w:val="24"/>
              </w:rPr>
              <w:t>5分</w:t>
            </w:r>
          </w:p>
        </w:tc>
        <w:tc>
          <w:tcPr>
            <w:tcW w:w="4594" w:type="dxa"/>
            <w:tcBorders>
              <w:top w:val="single" w:color="auto" w:sz="4" w:space="0"/>
              <w:left w:val="single" w:color="auto" w:sz="4" w:space="0"/>
              <w:right w:val="single" w:color="auto" w:sz="4" w:space="0"/>
            </w:tcBorders>
            <w:vAlign w:val="center"/>
          </w:tcPr>
          <w:p>
            <w:pPr>
              <w:spacing w:line="240" w:lineRule="auto"/>
              <w:jc w:val="center"/>
              <w:rPr>
                <w:rFonts w:ascii="宋体" w:hAnsi="宋体"/>
                <w:color w:val="auto"/>
                <w:sz w:val="24"/>
              </w:rPr>
            </w:pPr>
            <w:r>
              <w:rPr>
                <w:rFonts w:hint="eastAsia" w:ascii="宋体" w:hAnsi="宋体"/>
                <w:color w:val="auto"/>
                <w:sz w:val="24"/>
              </w:rPr>
              <w:t>按针对性、合理性、完整性酌情0-5分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506" w:type="dxa"/>
            <w:vMerge w:val="continue"/>
            <w:tcBorders>
              <w:left w:val="single" w:color="auto" w:sz="4" w:space="0"/>
              <w:right w:val="single" w:color="auto" w:sz="4" w:space="0"/>
            </w:tcBorders>
            <w:vAlign w:val="center"/>
          </w:tcPr>
          <w:p>
            <w:pPr>
              <w:spacing w:line="320" w:lineRule="exact"/>
              <w:jc w:val="center"/>
              <w:rPr>
                <w:rFonts w:ascii="宋体" w:hAnsi="宋体"/>
                <w:color w:val="auto"/>
                <w:sz w:val="24"/>
              </w:rPr>
            </w:pPr>
          </w:p>
        </w:tc>
        <w:tc>
          <w:tcPr>
            <w:tcW w:w="2400" w:type="dxa"/>
            <w:tcBorders>
              <w:left w:val="single" w:color="auto" w:sz="4" w:space="0"/>
              <w:right w:val="single" w:color="auto" w:sz="4" w:space="0"/>
            </w:tcBorders>
            <w:vAlign w:val="center"/>
          </w:tcPr>
          <w:p>
            <w:pPr>
              <w:spacing w:line="320" w:lineRule="exact"/>
              <w:jc w:val="center"/>
              <w:rPr>
                <w:rFonts w:ascii="宋体" w:hAnsi="宋体"/>
                <w:color w:val="auto"/>
                <w:sz w:val="24"/>
              </w:rPr>
            </w:pPr>
            <w:r>
              <w:rPr>
                <w:rFonts w:hint="eastAsia" w:ascii="宋体" w:hAnsi="宋体"/>
                <w:color w:val="auto"/>
                <w:sz w:val="24"/>
              </w:rPr>
              <w:t>拟投入的劳动力安排</w:t>
            </w:r>
          </w:p>
        </w:tc>
        <w:tc>
          <w:tcPr>
            <w:tcW w:w="1065" w:type="dxa"/>
            <w:tcBorders>
              <w:left w:val="single" w:color="auto" w:sz="4" w:space="0"/>
              <w:right w:val="single" w:color="auto" w:sz="4" w:space="0"/>
            </w:tcBorders>
            <w:vAlign w:val="center"/>
          </w:tcPr>
          <w:p>
            <w:pPr>
              <w:spacing w:line="320" w:lineRule="exact"/>
              <w:jc w:val="center"/>
              <w:rPr>
                <w:rFonts w:ascii="宋体" w:hAnsi="宋体"/>
                <w:color w:val="auto"/>
                <w:sz w:val="24"/>
              </w:rPr>
            </w:pPr>
            <w:r>
              <w:rPr>
                <w:rFonts w:hint="eastAsia" w:ascii="宋体" w:hAnsi="宋体"/>
                <w:color w:val="auto"/>
                <w:sz w:val="24"/>
              </w:rPr>
              <w:t>5分</w:t>
            </w:r>
          </w:p>
        </w:tc>
        <w:tc>
          <w:tcPr>
            <w:tcW w:w="4594" w:type="dxa"/>
            <w:tcBorders>
              <w:top w:val="single" w:color="auto" w:sz="4" w:space="0"/>
              <w:left w:val="single" w:color="auto" w:sz="4" w:space="0"/>
              <w:right w:val="single" w:color="auto" w:sz="4" w:space="0"/>
            </w:tcBorders>
            <w:vAlign w:val="center"/>
          </w:tcPr>
          <w:p>
            <w:pPr>
              <w:spacing w:line="360" w:lineRule="auto"/>
              <w:jc w:val="center"/>
              <w:rPr>
                <w:rFonts w:ascii="宋体" w:hAnsi="宋体"/>
                <w:color w:val="auto"/>
                <w:sz w:val="24"/>
              </w:rPr>
            </w:pPr>
            <w:r>
              <w:rPr>
                <w:rFonts w:hint="eastAsia" w:ascii="宋体" w:hAnsi="宋体"/>
                <w:color w:val="auto"/>
                <w:sz w:val="24"/>
              </w:rPr>
              <w:t>按针对性、合理性、完整性酌情0-5分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390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 w:val="24"/>
              </w:rPr>
            </w:pPr>
            <w:r>
              <w:rPr>
                <w:rFonts w:hint="eastAsia" w:ascii="宋体" w:hAnsi="宋体"/>
                <w:color w:val="auto"/>
                <w:sz w:val="24"/>
              </w:rPr>
              <w:t>3、商务报价</w:t>
            </w:r>
            <w:r>
              <w:rPr>
                <w:rFonts w:ascii="宋体" w:hAnsi="宋体"/>
                <w:color w:val="auto"/>
                <w:sz w:val="24"/>
              </w:rPr>
              <w:br w:type="textWrapping"/>
            </w:r>
            <w:r>
              <w:rPr>
                <w:rFonts w:hint="eastAsia" w:ascii="宋体" w:hAnsi="宋体"/>
                <w:color w:val="auto"/>
                <w:sz w:val="24"/>
              </w:rPr>
              <w:t>评审30分</w:t>
            </w:r>
          </w:p>
        </w:tc>
        <w:tc>
          <w:tcPr>
            <w:tcW w:w="5659" w:type="dxa"/>
            <w:gridSpan w:val="2"/>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宋体" w:cs="宋体"/>
                <w:color w:val="auto"/>
                <w:szCs w:val="21"/>
              </w:rPr>
            </w:pPr>
            <w:r>
              <w:rPr>
                <w:rFonts w:hint="eastAsia" w:ascii="宋体" w:hAnsi="宋体" w:cs="宋体"/>
                <w:color w:val="auto"/>
                <w:szCs w:val="21"/>
              </w:rPr>
              <w:t>综合评分法中的最终报价分统一采用低价优先法计算，即满足磋商文件要求且最终报价最低的供应商的价格为磋商基准价，其价格分为满分。</w:t>
            </w:r>
          </w:p>
          <w:p>
            <w:pPr>
              <w:ind w:firstLine="420" w:firstLineChars="200"/>
              <w:rPr>
                <w:rFonts w:ascii="宋体" w:hAnsi="宋体" w:cs="宋体"/>
                <w:color w:val="auto"/>
                <w:szCs w:val="21"/>
              </w:rPr>
            </w:pPr>
            <w:r>
              <w:rPr>
                <w:rFonts w:hint="eastAsia" w:ascii="宋体" w:hAnsi="宋体" w:cs="宋体"/>
                <w:color w:val="auto"/>
                <w:szCs w:val="21"/>
              </w:rPr>
              <w:t>商务标的得分计算公式示例：</w:t>
            </w:r>
          </w:p>
          <w:p>
            <w:pPr>
              <w:spacing w:line="320" w:lineRule="exact"/>
              <w:rPr>
                <w:rFonts w:ascii="宋体" w:hAnsi="宋体"/>
                <w:color w:val="auto"/>
                <w:sz w:val="24"/>
              </w:rPr>
            </w:pPr>
            <w:r>
              <w:rPr>
                <w:rFonts w:ascii="宋体" w:hAnsi="宋体"/>
                <w:color w:val="auto"/>
              </w:rPr>
              <w:t>报价得分=（</w:t>
            </w:r>
            <w:r>
              <w:rPr>
                <w:rFonts w:hint="eastAsia" w:ascii="宋体" w:hAnsi="宋体"/>
                <w:color w:val="auto"/>
              </w:rPr>
              <w:t>评标基准价</w:t>
            </w:r>
            <w:r>
              <w:rPr>
                <w:rFonts w:ascii="宋体" w:hAnsi="宋体"/>
                <w:color w:val="auto"/>
              </w:rPr>
              <w:t>/</w:t>
            </w:r>
            <w:r>
              <w:rPr>
                <w:rFonts w:hint="eastAsia" w:ascii="宋体" w:hAnsi="宋体"/>
                <w:color w:val="auto"/>
              </w:rPr>
              <w:t>最终报价</w:t>
            </w:r>
            <w:r>
              <w:rPr>
                <w:rFonts w:ascii="宋体" w:hAnsi="宋体"/>
                <w:color w:val="auto"/>
              </w:rPr>
              <w:t>）×价格权值×10</w:t>
            </w:r>
            <w:r>
              <w:rPr>
                <w:rFonts w:hint="eastAsia" w:ascii="宋体" w:hAnsi="宋体"/>
                <w:color w:val="auto"/>
              </w:rPr>
              <w:t>0</w:t>
            </w:r>
          </w:p>
        </w:tc>
      </w:tr>
    </w:tbl>
    <w:p>
      <w:pPr>
        <w:spacing w:line="360" w:lineRule="auto"/>
        <w:ind w:firstLine="480" w:firstLineChars="200"/>
        <w:rPr>
          <w:rFonts w:ascii="Times New Roman" w:hAnsi="Times New Roman" w:cs="Times New Roman"/>
          <w:b/>
          <w:color w:val="auto"/>
          <w:sz w:val="32"/>
          <w:szCs w:val="32"/>
        </w:rPr>
      </w:pPr>
      <w:r>
        <w:rPr>
          <w:rFonts w:ascii="宋体" w:hAnsi="宋体"/>
          <w:color w:val="auto"/>
          <w:sz w:val="24"/>
        </w:rPr>
        <w:t>评委</w:t>
      </w:r>
      <w:r>
        <w:rPr>
          <w:rFonts w:hint="eastAsia" w:ascii="宋体" w:hAnsi="宋体"/>
          <w:color w:val="auto"/>
          <w:sz w:val="24"/>
        </w:rPr>
        <w:t>的评分为</w:t>
      </w:r>
      <w:r>
        <w:rPr>
          <w:rFonts w:ascii="宋体" w:hAnsi="宋体"/>
          <w:color w:val="auto"/>
          <w:sz w:val="24"/>
        </w:rPr>
        <w:t>各投标单位的</w:t>
      </w:r>
      <w:r>
        <w:rPr>
          <w:rFonts w:hint="eastAsia" w:ascii="宋体" w:hAnsi="宋体"/>
          <w:color w:val="auto"/>
          <w:sz w:val="24"/>
        </w:rPr>
        <w:t>商务标、技术评审、综合评审3</w:t>
      </w:r>
      <w:r>
        <w:rPr>
          <w:rFonts w:ascii="宋体" w:hAnsi="宋体"/>
          <w:color w:val="auto"/>
          <w:sz w:val="24"/>
        </w:rPr>
        <w:t>个部分评分之和。投标单位的最终得分为评分的算术平均值（精确到小数点后两位，第三位四舍五入）</w:t>
      </w:r>
      <w:r>
        <w:rPr>
          <w:rFonts w:hint="eastAsia" w:ascii="宋体" w:hAnsi="宋体"/>
          <w:color w:val="auto"/>
          <w:sz w:val="24"/>
        </w:rPr>
        <w:t>。</w:t>
      </w:r>
    </w:p>
    <w:p>
      <w:pPr>
        <w:adjustRightInd w:val="0"/>
        <w:snapToGrid w:val="0"/>
        <w:jc w:val="center"/>
        <w:outlineLvl w:val="0"/>
        <w:rPr>
          <w:rFonts w:ascii="Times New Roman" w:hAnsi="Times New Roman" w:cs="Times New Roman"/>
          <w:b/>
          <w:color w:val="auto"/>
          <w:sz w:val="32"/>
          <w:szCs w:val="32"/>
        </w:rPr>
      </w:pPr>
    </w:p>
    <w:p>
      <w:pPr>
        <w:adjustRightInd w:val="0"/>
        <w:snapToGrid w:val="0"/>
        <w:jc w:val="center"/>
        <w:outlineLvl w:val="0"/>
        <w:rPr>
          <w:rFonts w:ascii="Times New Roman" w:hAnsi="Times New Roman" w:cs="Times New Roman"/>
          <w:b/>
          <w:color w:val="auto"/>
          <w:sz w:val="32"/>
          <w:szCs w:val="32"/>
        </w:rPr>
      </w:pPr>
    </w:p>
    <w:p>
      <w:pPr>
        <w:pStyle w:val="2"/>
        <w:rPr>
          <w:color w:val="auto"/>
        </w:rPr>
      </w:pPr>
    </w:p>
    <w:p>
      <w:pPr>
        <w:rPr>
          <w:rFonts w:ascii="Times New Roman" w:hAnsi="Times New Roman" w:cs="Times New Roman"/>
          <w:b/>
          <w:color w:val="auto"/>
          <w:sz w:val="32"/>
          <w:szCs w:val="32"/>
        </w:rPr>
      </w:pPr>
      <w:r>
        <w:rPr>
          <w:rFonts w:ascii="Times New Roman" w:hAnsi="Times New Roman" w:cs="Times New Roman"/>
          <w:b/>
          <w:color w:val="auto"/>
          <w:sz w:val="32"/>
          <w:szCs w:val="32"/>
        </w:rPr>
        <w:br w:type="page"/>
      </w:r>
    </w:p>
    <w:p>
      <w:pPr>
        <w:adjustRightInd w:val="0"/>
        <w:snapToGrid w:val="0"/>
        <w:jc w:val="center"/>
        <w:outlineLvl w:val="0"/>
        <w:rPr>
          <w:rFonts w:ascii="Times New Roman" w:hAnsi="Times New Roman" w:cs="Times New Roman"/>
          <w:b/>
          <w:color w:val="auto"/>
          <w:sz w:val="32"/>
          <w:szCs w:val="32"/>
        </w:rPr>
      </w:pPr>
      <w:r>
        <w:rPr>
          <w:rFonts w:ascii="Times New Roman" w:hAnsi="Times New Roman" w:cs="Times New Roman"/>
          <w:b/>
          <w:color w:val="auto"/>
          <w:sz w:val="32"/>
          <w:szCs w:val="32"/>
        </w:rPr>
        <w:t>第五章 响应文件格式</w:t>
      </w:r>
    </w:p>
    <w:p>
      <w:pPr>
        <w:adjustRightInd w:val="0"/>
        <w:snapToGrid w:val="0"/>
        <w:jc w:val="center"/>
        <w:outlineLvl w:val="9"/>
        <w:rPr>
          <w:rFonts w:ascii="Times New Roman" w:hAnsi="Times New Roman" w:cs="Times New Roman"/>
          <w:b/>
          <w:color w:val="auto"/>
          <w:sz w:val="18"/>
          <w:szCs w:val="18"/>
        </w:rPr>
      </w:pPr>
    </w:p>
    <w:p>
      <w:pPr>
        <w:adjustRightInd w:val="0"/>
        <w:snapToGrid w:val="0"/>
        <w:outlineLvl w:val="0"/>
        <w:rPr>
          <w:rFonts w:ascii="Times New Roman" w:hAnsi="Times New Roman" w:cs="Times New Roman"/>
          <w:color w:val="auto"/>
          <w:szCs w:val="28"/>
        </w:rPr>
      </w:pPr>
      <w:r>
        <w:rPr>
          <w:rFonts w:ascii="Times New Roman" w:hAnsi="Times New Roman" w:cs="Times New Roman"/>
          <w:color w:val="auto"/>
          <w:szCs w:val="28"/>
        </w:rPr>
        <w:t>封面：</w:t>
      </w:r>
    </w:p>
    <w:p>
      <w:pPr>
        <w:tabs>
          <w:tab w:val="left" w:pos="1260"/>
        </w:tabs>
        <w:jc w:val="center"/>
        <w:rPr>
          <w:rFonts w:ascii="Times New Roman" w:hAnsi="Times New Roman" w:eastAsia="宋体" w:cs="Times New Roman"/>
          <w:b/>
          <w:bCs/>
          <w:color w:val="auto"/>
          <w:spacing w:val="100"/>
          <w:w w:val="110"/>
          <w:sz w:val="36"/>
          <w:szCs w:val="36"/>
        </w:rPr>
      </w:pPr>
    </w:p>
    <w:p>
      <w:pPr>
        <w:tabs>
          <w:tab w:val="left" w:pos="1260"/>
        </w:tabs>
        <w:jc w:val="center"/>
        <w:rPr>
          <w:rFonts w:ascii="Times New Roman" w:hAnsi="Times New Roman" w:eastAsia="宋体" w:cs="Times New Roman"/>
          <w:b/>
          <w:bCs w:val="0"/>
          <w:color w:val="auto"/>
          <w:spacing w:val="100"/>
          <w:w w:val="110"/>
          <w:sz w:val="144"/>
          <w:szCs w:val="144"/>
          <w:u w:val="none"/>
        </w:rPr>
      </w:pPr>
      <w:r>
        <w:rPr>
          <w:rFonts w:hint="default" w:eastAsia="宋体" w:cs="Times New Roman" w:asciiTheme="minorAscii" w:hAnsiTheme="minorAscii"/>
          <w:b/>
          <w:bCs w:val="0"/>
          <w:color w:val="auto"/>
          <w:sz w:val="40"/>
          <w:szCs w:val="40"/>
          <w:u w:val="none"/>
        </w:rPr>
        <w:t>恩施大峡谷地面缆车202</w:t>
      </w:r>
      <w:r>
        <w:rPr>
          <w:rFonts w:hint="eastAsia" w:eastAsia="宋体" w:cs="Times New Roman" w:asciiTheme="minorAscii" w:hAnsiTheme="minorAscii"/>
          <w:b/>
          <w:bCs w:val="0"/>
          <w:color w:val="auto"/>
          <w:sz w:val="40"/>
          <w:szCs w:val="40"/>
          <w:u w:val="none"/>
          <w:lang w:val="en-US" w:eastAsia="zh-CN"/>
        </w:rPr>
        <w:t>4</w:t>
      </w:r>
      <w:r>
        <w:rPr>
          <w:rFonts w:hint="default" w:eastAsia="宋体" w:cs="Times New Roman" w:asciiTheme="minorAscii" w:hAnsiTheme="minorAscii"/>
          <w:b/>
          <w:bCs w:val="0"/>
          <w:color w:val="auto"/>
          <w:sz w:val="40"/>
          <w:szCs w:val="40"/>
          <w:u w:val="none"/>
        </w:rPr>
        <w:t>年度绿化养护</w:t>
      </w:r>
      <w:r>
        <w:rPr>
          <w:rFonts w:hint="eastAsia" w:eastAsia="宋体" w:cs="Times New Roman" w:asciiTheme="minorAscii" w:hAnsiTheme="minorAscii"/>
          <w:b/>
          <w:bCs w:val="0"/>
          <w:color w:val="auto"/>
          <w:sz w:val="40"/>
          <w:szCs w:val="40"/>
          <w:u w:val="none"/>
          <w:lang w:val="en-US" w:eastAsia="zh-CN"/>
        </w:rPr>
        <w:t>服务</w:t>
      </w:r>
    </w:p>
    <w:p>
      <w:pPr>
        <w:tabs>
          <w:tab w:val="left" w:pos="1260"/>
        </w:tabs>
        <w:jc w:val="center"/>
        <w:rPr>
          <w:rFonts w:ascii="Times New Roman" w:hAnsi="Times New Roman" w:eastAsia="宋体" w:cs="Times New Roman"/>
          <w:color w:val="auto"/>
          <w:spacing w:val="100"/>
          <w:w w:val="110"/>
          <w:sz w:val="96"/>
          <w:szCs w:val="96"/>
        </w:rPr>
      </w:pPr>
      <w:r>
        <w:rPr>
          <w:rFonts w:ascii="Times New Roman" w:hAnsi="Times New Roman" w:eastAsia="宋体" w:cs="Times New Roman"/>
          <w:bCs/>
          <w:color w:val="auto"/>
          <w:spacing w:val="100"/>
          <w:w w:val="110"/>
          <w:sz w:val="96"/>
          <w:szCs w:val="96"/>
        </w:rPr>
        <w:t>响应文件</w:t>
      </w:r>
    </w:p>
    <w:p>
      <w:pPr>
        <w:jc w:val="center"/>
        <w:rPr>
          <w:rFonts w:ascii="Times New Roman" w:hAnsi="Times New Roman" w:eastAsia="宋体" w:cs="Times New Roman"/>
          <w:color w:val="auto"/>
          <w:sz w:val="44"/>
          <w:szCs w:val="21"/>
        </w:rPr>
      </w:pPr>
      <w:r>
        <w:rPr>
          <w:rFonts w:ascii="Times New Roman" w:hAnsi="Times New Roman" w:eastAsia="宋体" w:cs="Times New Roman"/>
          <w:color w:val="auto"/>
          <w:sz w:val="44"/>
          <w:szCs w:val="21"/>
        </w:rPr>
        <w:t>（正本/副本）</w:t>
      </w:r>
    </w:p>
    <w:p>
      <w:pPr>
        <w:jc w:val="center"/>
        <w:rPr>
          <w:rFonts w:ascii="Times New Roman" w:hAnsi="Times New Roman" w:eastAsia="宋体" w:cs="Times New Roman"/>
          <w:color w:val="auto"/>
          <w:sz w:val="44"/>
          <w:szCs w:val="21"/>
        </w:rPr>
      </w:pPr>
    </w:p>
    <w:p>
      <w:pPr>
        <w:spacing w:line="360" w:lineRule="auto"/>
        <w:ind w:firstLine="1280" w:firstLineChars="400"/>
        <w:rPr>
          <w:rFonts w:ascii="Times New Roman" w:hAnsi="Times New Roman" w:eastAsia="宋体" w:cs="Times New Roman"/>
          <w:color w:val="auto"/>
          <w:sz w:val="32"/>
          <w:szCs w:val="32"/>
        </w:rPr>
      </w:pPr>
    </w:p>
    <w:p>
      <w:pPr>
        <w:spacing w:line="360" w:lineRule="auto"/>
        <w:ind w:firstLine="1280" w:firstLineChars="400"/>
        <w:rPr>
          <w:rFonts w:ascii="Times New Roman" w:hAnsi="Times New Roman" w:eastAsia="宋体" w:cs="Times New Roman"/>
          <w:color w:val="auto"/>
          <w:sz w:val="32"/>
          <w:szCs w:val="32"/>
        </w:rPr>
      </w:pPr>
      <w:r>
        <w:rPr>
          <w:rFonts w:ascii="Times New Roman" w:hAnsi="Times New Roman" w:eastAsia="宋体" w:cs="Times New Roman"/>
          <w:color w:val="auto"/>
          <w:sz w:val="32"/>
          <w:szCs w:val="32"/>
        </w:rPr>
        <w:t>项目名称：</w:t>
      </w:r>
    </w:p>
    <w:p>
      <w:pPr>
        <w:spacing w:line="360" w:lineRule="auto"/>
        <w:ind w:firstLine="1280" w:firstLineChars="400"/>
        <w:rPr>
          <w:rFonts w:ascii="Times New Roman" w:hAnsi="Times New Roman" w:eastAsia="宋体" w:cs="Times New Roman"/>
          <w:color w:val="auto"/>
          <w:sz w:val="32"/>
          <w:szCs w:val="32"/>
          <w:u w:val="single"/>
        </w:rPr>
      </w:pPr>
      <w:r>
        <w:rPr>
          <w:rFonts w:ascii="Times New Roman" w:hAnsi="Times New Roman" w:eastAsia="宋体" w:cs="Times New Roman"/>
          <w:color w:val="auto"/>
          <w:sz w:val="32"/>
          <w:szCs w:val="32"/>
        </w:rPr>
        <w:t>项目编号：</w:t>
      </w:r>
    </w:p>
    <w:p>
      <w:pPr>
        <w:ind w:firstLine="1320" w:firstLineChars="300"/>
        <w:rPr>
          <w:rFonts w:ascii="Times New Roman" w:hAnsi="Times New Roman" w:eastAsia="宋体" w:cs="Times New Roman"/>
          <w:color w:val="auto"/>
          <w:sz w:val="44"/>
          <w:szCs w:val="21"/>
        </w:rPr>
      </w:pPr>
    </w:p>
    <w:p>
      <w:pPr>
        <w:ind w:firstLine="1320" w:firstLineChars="300"/>
        <w:rPr>
          <w:rFonts w:ascii="Times New Roman" w:hAnsi="Times New Roman" w:eastAsia="宋体" w:cs="Times New Roman"/>
          <w:color w:val="auto"/>
          <w:sz w:val="44"/>
          <w:szCs w:val="21"/>
        </w:rPr>
      </w:pPr>
    </w:p>
    <w:p>
      <w:pPr>
        <w:ind w:firstLine="1320" w:firstLineChars="300"/>
        <w:rPr>
          <w:rFonts w:ascii="Times New Roman" w:hAnsi="Times New Roman" w:eastAsia="宋体" w:cs="Times New Roman"/>
          <w:color w:val="auto"/>
          <w:sz w:val="44"/>
          <w:szCs w:val="21"/>
        </w:rPr>
      </w:pPr>
    </w:p>
    <w:p>
      <w:pPr>
        <w:ind w:firstLine="1320" w:firstLineChars="300"/>
        <w:rPr>
          <w:rFonts w:ascii="Times New Roman" w:hAnsi="Times New Roman" w:eastAsia="宋体" w:cs="Times New Roman"/>
          <w:color w:val="auto"/>
          <w:sz w:val="44"/>
          <w:szCs w:val="21"/>
        </w:rPr>
      </w:pPr>
    </w:p>
    <w:p>
      <w:pPr>
        <w:ind w:firstLine="1320" w:firstLineChars="300"/>
        <w:rPr>
          <w:rFonts w:ascii="Times New Roman" w:hAnsi="Times New Roman" w:eastAsia="宋体" w:cs="Times New Roman"/>
          <w:color w:val="auto"/>
          <w:sz w:val="44"/>
          <w:szCs w:val="21"/>
        </w:rPr>
      </w:pPr>
    </w:p>
    <w:p>
      <w:pPr>
        <w:ind w:firstLine="1320" w:firstLineChars="300"/>
        <w:rPr>
          <w:rFonts w:ascii="Times New Roman" w:hAnsi="Times New Roman" w:eastAsia="宋体" w:cs="Times New Roman"/>
          <w:color w:val="auto"/>
          <w:sz w:val="44"/>
          <w:szCs w:val="21"/>
        </w:rPr>
      </w:pPr>
    </w:p>
    <w:p>
      <w:pPr>
        <w:ind w:firstLine="1320" w:firstLineChars="300"/>
        <w:rPr>
          <w:rFonts w:ascii="Times New Roman" w:hAnsi="Times New Roman" w:eastAsia="宋体" w:cs="Times New Roman"/>
          <w:color w:val="auto"/>
          <w:sz w:val="44"/>
          <w:szCs w:val="21"/>
        </w:rPr>
      </w:pPr>
    </w:p>
    <w:p>
      <w:pPr>
        <w:ind w:firstLine="960" w:firstLineChars="300"/>
        <w:jc w:val="both"/>
        <w:rPr>
          <w:rFonts w:ascii="Times New Roman" w:hAnsi="Times New Roman" w:eastAsia="宋体" w:cs="Times New Roman"/>
          <w:color w:val="auto"/>
          <w:sz w:val="44"/>
          <w:szCs w:val="21"/>
        </w:rPr>
      </w:pPr>
      <w:r>
        <w:rPr>
          <w:rFonts w:ascii="Times New Roman" w:hAnsi="Times New Roman" w:eastAsia="宋体" w:cs="Times New Roman"/>
          <w:color w:val="auto"/>
          <w:sz w:val="32"/>
          <w:szCs w:val="32"/>
        </w:rPr>
        <w:t>供应商名称</w:t>
      </w:r>
      <w:r>
        <w:rPr>
          <w:rFonts w:hint="eastAsia" w:ascii="Times New Roman" w:hAnsi="Times New Roman" w:eastAsia="宋体" w:cs="Times New Roman"/>
          <w:color w:val="auto"/>
          <w:sz w:val="32"/>
          <w:szCs w:val="32"/>
        </w:rPr>
        <w:t>：</w:t>
      </w:r>
    </w:p>
    <w:p>
      <w:pPr>
        <w:spacing w:line="360" w:lineRule="auto"/>
        <w:jc w:val="center"/>
        <w:rPr>
          <w:rFonts w:ascii="Times New Roman" w:hAnsi="Times New Roman" w:eastAsia="宋体" w:cs="Times New Roman"/>
          <w:color w:val="auto"/>
          <w:sz w:val="32"/>
          <w:szCs w:val="32"/>
        </w:rPr>
      </w:pPr>
    </w:p>
    <w:p>
      <w:pPr>
        <w:spacing w:line="360" w:lineRule="auto"/>
        <w:jc w:val="center"/>
        <w:rPr>
          <w:rFonts w:ascii="Times New Roman" w:hAnsi="Times New Roman" w:eastAsia="宋体" w:cs="Times New Roman"/>
          <w:color w:val="auto"/>
          <w:sz w:val="32"/>
          <w:szCs w:val="32"/>
          <w:u w:val="single"/>
        </w:rPr>
      </w:pPr>
      <w:r>
        <w:rPr>
          <w:rFonts w:ascii="Times New Roman" w:hAnsi="Times New Roman" w:eastAsia="宋体" w:cs="Times New Roman"/>
          <w:color w:val="auto"/>
          <w:sz w:val="32"/>
          <w:szCs w:val="32"/>
        </w:rPr>
        <w:t>年  月  日</w:t>
      </w:r>
    </w:p>
    <w:p>
      <w:pPr>
        <w:adjustRightInd w:val="0"/>
        <w:snapToGrid w:val="0"/>
        <w:outlineLvl w:val="0"/>
        <w:rPr>
          <w:rFonts w:ascii="Times New Roman" w:hAnsi="Times New Roman" w:cs="Times New Roman"/>
          <w:bCs/>
          <w:color w:val="auto"/>
          <w:sz w:val="24"/>
          <w:szCs w:val="24"/>
        </w:rPr>
      </w:pPr>
      <w:r>
        <w:rPr>
          <w:rFonts w:ascii="Times New Roman" w:hAnsi="Times New Roman" w:cs="Times New Roman"/>
          <w:b/>
          <w:color w:val="auto"/>
        </w:rPr>
        <w:br w:type="page"/>
      </w:r>
    </w:p>
    <w:p>
      <w:pPr>
        <w:adjustRightInd w:val="0"/>
        <w:snapToGrid w:val="0"/>
        <w:outlineLvl w:val="9"/>
        <w:rPr>
          <w:rFonts w:ascii="Times New Roman" w:hAnsi="Times New Roman" w:cs="Times New Roman"/>
          <w:bCs/>
          <w:color w:val="auto"/>
          <w:sz w:val="24"/>
          <w:szCs w:val="24"/>
        </w:rPr>
      </w:pPr>
      <w:r>
        <w:rPr>
          <w:rFonts w:hint="eastAsia" w:ascii="Times New Roman" w:hAnsi="Times New Roman" w:cs="Times New Roman"/>
          <w:bCs/>
          <w:color w:val="auto"/>
          <w:sz w:val="24"/>
          <w:szCs w:val="24"/>
        </w:rPr>
        <w:t xml:space="preserve">                    </w:t>
      </w:r>
    </w:p>
    <w:p>
      <w:pPr>
        <w:adjustRightInd w:val="0"/>
        <w:snapToGrid w:val="0"/>
        <w:outlineLvl w:val="0"/>
        <w:rPr>
          <w:rFonts w:ascii="Times New Roman" w:hAnsi="Times New Roman" w:cs="Times New Roman"/>
          <w:bCs/>
          <w:color w:val="auto"/>
          <w:sz w:val="24"/>
          <w:szCs w:val="24"/>
        </w:rPr>
      </w:pPr>
      <w:r>
        <w:rPr>
          <w:rFonts w:ascii="Times New Roman" w:hAnsi="Times New Roman" w:cs="Times New Roman"/>
          <w:bCs/>
          <w:color w:val="auto"/>
          <w:sz w:val="24"/>
          <w:szCs w:val="24"/>
        </w:rPr>
        <w:t>附件1</w:t>
      </w:r>
      <w:r>
        <w:rPr>
          <w:rFonts w:hint="eastAsia" w:ascii="Times New Roman" w:hAnsi="Times New Roman" w:cs="Times New Roman"/>
          <w:bCs/>
          <w:color w:val="auto"/>
          <w:sz w:val="24"/>
          <w:szCs w:val="24"/>
        </w:rPr>
        <w:t>：</w:t>
      </w:r>
    </w:p>
    <w:p>
      <w:pPr>
        <w:jc w:val="center"/>
        <w:rPr>
          <w:rFonts w:ascii="Times New Roman" w:hAnsi="Times New Roman" w:cs="Times New Roman"/>
          <w:b/>
          <w:bCs/>
          <w:color w:val="auto"/>
          <w:sz w:val="32"/>
          <w:szCs w:val="32"/>
        </w:rPr>
      </w:pPr>
      <w:r>
        <w:rPr>
          <w:rFonts w:ascii="Times New Roman" w:hAnsi="Times New Roman" w:cs="Times New Roman"/>
          <w:b/>
          <w:bCs/>
          <w:color w:val="auto"/>
          <w:sz w:val="32"/>
          <w:szCs w:val="32"/>
        </w:rPr>
        <w:t>磋 商 书</w:t>
      </w:r>
    </w:p>
    <w:p>
      <w:pPr>
        <w:spacing w:line="500" w:lineRule="exact"/>
        <w:ind w:left="-88" w:leftChars="-42"/>
        <w:rPr>
          <w:rFonts w:ascii="Times New Roman" w:hAnsi="Times New Roman" w:eastAsia="仿宋_GB2312" w:cs="Times New Roman"/>
          <w:color w:val="auto"/>
          <w:sz w:val="24"/>
          <w:szCs w:val="24"/>
        </w:rPr>
      </w:pPr>
    </w:p>
    <w:p>
      <w:pPr>
        <w:spacing w:line="440" w:lineRule="exact"/>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致：</w:t>
      </w:r>
      <w:r>
        <w:rPr>
          <w:rFonts w:ascii="Times New Roman" w:hAnsi="Times New Roman" w:eastAsia="宋体" w:cs="Times New Roman"/>
          <w:color w:val="auto"/>
          <w:sz w:val="24"/>
          <w:szCs w:val="24"/>
          <w:u w:val="single"/>
        </w:rPr>
        <w:t>(</w:t>
      </w:r>
      <w:r>
        <w:rPr>
          <w:rFonts w:hint="eastAsia" w:ascii="Times New Roman" w:hAnsi="Times New Roman" w:eastAsia="宋体" w:cs="Times New Roman"/>
          <w:color w:val="auto"/>
          <w:sz w:val="24"/>
          <w:szCs w:val="24"/>
          <w:u w:val="single"/>
        </w:rPr>
        <w:t>采购人</w:t>
      </w:r>
      <w:r>
        <w:rPr>
          <w:rFonts w:ascii="Times New Roman" w:hAnsi="Times New Roman" w:eastAsia="宋体" w:cs="Times New Roman"/>
          <w:color w:val="auto"/>
          <w:sz w:val="24"/>
          <w:szCs w:val="24"/>
          <w:u w:val="single"/>
        </w:rPr>
        <w:t>)</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根据贵方</w:t>
      </w:r>
      <w:r>
        <w:rPr>
          <w:rFonts w:ascii="Times New Roman" w:hAnsi="Times New Roman" w:eastAsia="宋体" w:cs="Times New Roman"/>
          <w:color w:val="auto"/>
          <w:sz w:val="24"/>
          <w:szCs w:val="24"/>
          <w:u w:val="single"/>
        </w:rPr>
        <w:t>（项目名称/项目编号）</w:t>
      </w:r>
      <w:r>
        <w:rPr>
          <w:rFonts w:ascii="Times New Roman" w:hAnsi="Times New Roman" w:eastAsia="宋体" w:cs="Times New Roman"/>
          <w:color w:val="auto"/>
          <w:sz w:val="24"/>
          <w:szCs w:val="24"/>
        </w:rPr>
        <w:t>项目采购的磋商邀请，</w:t>
      </w:r>
      <w:r>
        <w:rPr>
          <w:rFonts w:ascii="Times New Roman" w:hAnsi="Times New Roman" w:eastAsia="宋体" w:cs="Times New Roman"/>
          <w:color w:val="auto"/>
          <w:sz w:val="24"/>
          <w:szCs w:val="24"/>
          <w:u w:val="single"/>
        </w:rPr>
        <w:t>签字代表</w:t>
      </w:r>
      <w:r>
        <w:rPr>
          <w:rFonts w:ascii="Times New Roman" w:hAnsi="Times New Roman" w:eastAsia="宋体" w:cs="Times New Roman"/>
          <w:color w:val="auto"/>
          <w:sz w:val="24"/>
          <w:szCs w:val="24"/>
        </w:rPr>
        <w:t>（姓名和职务）经正式授权并代表供应商</w:t>
      </w:r>
      <w:r>
        <w:rPr>
          <w:rFonts w:ascii="Times New Roman" w:hAnsi="Times New Roman" w:eastAsia="宋体" w:cs="Times New Roman"/>
          <w:color w:val="auto"/>
          <w:sz w:val="24"/>
          <w:szCs w:val="24"/>
          <w:u w:val="single"/>
        </w:rPr>
        <w:t>（供应商名称、地址）</w:t>
      </w:r>
      <w:r>
        <w:rPr>
          <w:rFonts w:ascii="Times New Roman" w:hAnsi="Times New Roman" w:eastAsia="宋体" w:cs="Times New Roman"/>
          <w:color w:val="auto"/>
          <w:sz w:val="24"/>
          <w:szCs w:val="24"/>
        </w:rPr>
        <w:t>提交下述响应文件正本一份、副本二份、电子文件一份。</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报价为人民币：</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元/平方米，</w:t>
      </w:r>
      <w:r>
        <w:rPr>
          <w:rFonts w:hint="eastAsia" w:ascii="宋体" w:hAnsi="宋体" w:eastAsia="宋体" w:cs="宋体"/>
          <w:bCs/>
          <w:color w:val="auto"/>
          <w:sz w:val="24"/>
          <w:szCs w:val="24"/>
          <w:lang w:val="en-US" w:eastAsia="zh-CN"/>
        </w:rPr>
        <w:t>投标总价为人民币</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元</w:t>
      </w:r>
      <w:r>
        <w:rPr>
          <w:rFonts w:hint="eastAsia" w:ascii="宋体" w:hAnsi="宋体" w:eastAsia="宋体" w:cs="宋体"/>
          <w:bCs/>
          <w:color w:val="auto"/>
          <w:sz w:val="24"/>
          <w:szCs w:val="24"/>
          <w:lang w:eastAsia="zh-CN"/>
        </w:rPr>
        <w:t>，</w:t>
      </w:r>
      <w:r>
        <w:rPr>
          <w:rFonts w:hint="eastAsia" w:ascii="宋体" w:hAnsi="宋体" w:eastAsia="宋体" w:cs="宋体"/>
          <w:color w:val="auto"/>
          <w:sz w:val="24"/>
          <w:szCs w:val="24"/>
          <w:lang w:val="en-US" w:eastAsia="zh-CN"/>
        </w:rPr>
        <w:t>大写</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spacing w:line="440" w:lineRule="exact"/>
        <w:ind w:firstLine="48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1）磋商书 (附件1) ；</w:t>
      </w:r>
    </w:p>
    <w:p>
      <w:pPr>
        <w:spacing w:line="440" w:lineRule="exact"/>
        <w:ind w:firstLine="48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2）报价组成情况表(附件2) ；</w:t>
      </w:r>
    </w:p>
    <w:p>
      <w:pPr>
        <w:spacing w:line="440" w:lineRule="exact"/>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3）</w:t>
      </w:r>
      <w:r>
        <w:rPr>
          <w:rFonts w:ascii="Times New Roman" w:hAnsi="Times New Roman" w:eastAsia="宋体" w:cs="Times New Roman"/>
          <w:color w:val="auto"/>
          <w:sz w:val="24"/>
          <w:szCs w:val="24"/>
        </w:rPr>
        <w:t>拟投入设备清单(附件3)</w:t>
      </w:r>
    </w:p>
    <w:p>
      <w:pPr>
        <w:spacing w:line="440" w:lineRule="exact"/>
        <w:ind w:firstLine="480" w:firstLineChars="200"/>
        <w:rPr>
          <w:rFonts w:ascii="Times New Roman" w:hAnsi="Times New Roman" w:cs="Times New Roman"/>
          <w:bCs/>
          <w:color w:val="auto"/>
          <w:sz w:val="24"/>
          <w:szCs w:val="24"/>
        </w:rPr>
      </w:pPr>
      <w:r>
        <w:rPr>
          <w:rFonts w:ascii="Times New Roman" w:hAnsi="Times New Roman" w:cs="Times New Roman"/>
          <w:bCs/>
          <w:color w:val="auto"/>
          <w:sz w:val="24"/>
          <w:szCs w:val="24"/>
        </w:rPr>
        <w:t>4）</w:t>
      </w:r>
      <w:r>
        <w:rPr>
          <w:rFonts w:hint="eastAsia" w:ascii="Times New Roman" w:hAnsi="Times New Roman" w:cs="Times New Roman"/>
          <w:bCs/>
          <w:color w:val="auto"/>
          <w:sz w:val="24"/>
          <w:szCs w:val="24"/>
        </w:rPr>
        <w:t>近3年类似项目</w:t>
      </w:r>
      <w:r>
        <w:rPr>
          <w:rFonts w:ascii="Times New Roman" w:hAnsi="Times New Roman" w:cs="Times New Roman"/>
          <w:bCs/>
          <w:color w:val="auto"/>
          <w:sz w:val="24"/>
          <w:szCs w:val="24"/>
        </w:rPr>
        <w:t>业绩(附件4)；</w:t>
      </w:r>
    </w:p>
    <w:p>
      <w:pPr>
        <w:spacing w:line="440" w:lineRule="exact"/>
        <w:ind w:firstLine="480" w:firstLineChars="200"/>
        <w:rPr>
          <w:rFonts w:ascii="Times New Roman" w:hAnsi="Times New Roman" w:cs="Times New Roman"/>
          <w:bCs/>
          <w:color w:val="auto"/>
          <w:sz w:val="24"/>
          <w:szCs w:val="24"/>
        </w:rPr>
      </w:pPr>
      <w:r>
        <w:rPr>
          <w:rFonts w:ascii="Times New Roman" w:hAnsi="Times New Roman" w:cs="Times New Roman"/>
          <w:bCs/>
          <w:color w:val="auto"/>
          <w:sz w:val="24"/>
          <w:szCs w:val="24"/>
        </w:rPr>
        <w:t>5）</w:t>
      </w:r>
      <w:r>
        <w:rPr>
          <w:rFonts w:hint="eastAsia" w:ascii="Times New Roman" w:hAnsi="Times New Roman" w:cs="Times New Roman"/>
          <w:bCs/>
          <w:color w:val="auto"/>
          <w:sz w:val="24"/>
          <w:szCs w:val="24"/>
        </w:rPr>
        <w:t>法人</w:t>
      </w:r>
      <w:r>
        <w:rPr>
          <w:rFonts w:ascii="Times New Roman" w:hAnsi="Times New Roman" w:cs="Times New Roman"/>
          <w:bCs/>
          <w:color w:val="auto"/>
          <w:sz w:val="24"/>
          <w:szCs w:val="24"/>
        </w:rPr>
        <w:t>身份证明书</w:t>
      </w:r>
      <w:r>
        <w:rPr>
          <w:rFonts w:hint="eastAsia" w:ascii="Times New Roman" w:hAnsi="Times New Roman" w:cs="Times New Roman"/>
          <w:bCs/>
          <w:color w:val="auto"/>
          <w:sz w:val="24"/>
          <w:szCs w:val="24"/>
        </w:rPr>
        <w:t>（附件5）</w:t>
      </w:r>
    </w:p>
    <w:p>
      <w:pPr>
        <w:spacing w:line="440" w:lineRule="exact"/>
        <w:ind w:firstLine="480" w:firstLineChars="200"/>
        <w:rPr>
          <w:rFonts w:ascii="Times New Roman" w:hAnsi="Times New Roman" w:cs="Times New Roman"/>
          <w:bCs/>
          <w:color w:val="auto"/>
          <w:sz w:val="24"/>
          <w:szCs w:val="24"/>
        </w:rPr>
      </w:pPr>
      <w:r>
        <w:rPr>
          <w:rFonts w:ascii="Times New Roman" w:hAnsi="Times New Roman" w:cs="Times New Roman"/>
          <w:bCs/>
          <w:color w:val="auto"/>
          <w:sz w:val="24"/>
          <w:szCs w:val="24"/>
        </w:rPr>
        <w:t>6）法人（负责人）代表授权书（附件6）；</w:t>
      </w:r>
    </w:p>
    <w:p>
      <w:pPr>
        <w:spacing w:line="440" w:lineRule="exact"/>
        <w:ind w:firstLine="480" w:firstLineChars="200"/>
        <w:rPr>
          <w:rFonts w:ascii="Times New Roman" w:hAnsi="Times New Roman" w:cs="Times New Roman"/>
          <w:bCs/>
          <w:color w:val="auto"/>
          <w:sz w:val="24"/>
          <w:szCs w:val="24"/>
        </w:rPr>
      </w:pPr>
      <w:r>
        <w:rPr>
          <w:rFonts w:ascii="Times New Roman" w:hAnsi="Times New Roman" w:cs="Times New Roman"/>
          <w:bCs/>
          <w:color w:val="auto"/>
          <w:sz w:val="24"/>
          <w:szCs w:val="24"/>
        </w:rPr>
        <w:t>7）法人或者其他组织的营业执照等证明文件，自然人的身份证明(附件7)；</w:t>
      </w:r>
    </w:p>
    <w:p>
      <w:pPr>
        <w:spacing w:line="440" w:lineRule="exact"/>
        <w:ind w:firstLine="480" w:firstLineChars="200"/>
        <w:rPr>
          <w:rFonts w:ascii="Times New Roman" w:hAnsi="Times New Roman" w:cs="Times New Roman"/>
          <w:bCs/>
          <w:color w:val="auto"/>
          <w:sz w:val="24"/>
          <w:szCs w:val="24"/>
        </w:rPr>
      </w:pPr>
      <w:r>
        <w:rPr>
          <w:rFonts w:ascii="Times New Roman" w:hAnsi="Times New Roman" w:cs="Times New Roman"/>
          <w:bCs/>
          <w:color w:val="auto"/>
          <w:sz w:val="24"/>
          <w:szCs w:val="24"/>
        </w:rPr>
        <w:t>8）财务状况报告，依法缴纳税收和社会保障资金的相关材料(附件8)；</w:t>
      </w:r>
    </w:p>
    <w:p>
      <w:pPr>
        <w:spacing w:line="440" w:lineRule="exact"/>
        <w:ind w:left="660" w:leftChars="200" w:hanging="240" w:hangingChars="100"/>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9）参加政府采购活动前3年内在经营活动中没有重大违法记录的书面声明(附件9)； </w:t>
      </w:r>
    </w:p>
    <w:p>
      <w:pPr>
        <w:spacing w:line="440" w:lineRule="exact"/>
        <w:ind w:left="210" w:leftChars="100" w:firstLine="240" w:firstLineChars="100"/>
        <w:rPr>
          <w:rFonts w:ascii="Times New Roman" w:hAnsi="Times New Roman" w:cs="Times New Roman"/>
          <w:bCs/>
          <w:color w:val="auto"/>
          <w:sz w:val="24"/>
          <w:szCs w:val="24"/>
        </w:rPr>
      </w:pPr>
      <w:r>
        <w:rPr>
          <w:rFonts w:ascii="Times New Roman" w:hAnsi="Times New Roman" w:cs="Times New Roman"/>
          <w:bCs/>
          <w:color w:val="auto"/>
          <w:sz w:val="24"/>
          <w:szCs w:val="24"/>
        </w:rPr>
        <w:t>10）未被列入“信用中国”网站(www.creditchina. gov.cn)失信被执行人、重大税收违法案件当事人名单、政府采购严重违法失信行为记录名单的网页打印件</w:t>
      </w:r>
      <w:r>
        <w:rPr>
          <w:rFonts w:hint="eastAsia" w:ascii="Times New Roman" w:hAnsi="Times New Roman" w:cs="Times New Roman"/>
          <w:bCs/>
          <w:color w:val="auto"/>
          <w:sz w:val="24"/>
          <w:szCs w:val="24"/>
        </w:rPr>
        <w:t xml:space="preserve">            </w:t>
      </w:r>
      <w:r>
        <w:rPr>
          <w:rFonts w:ascii="Times New Roman" w:hAnsi="Times New Roman" w:cs="Times New Roman"/>
          <w:bCs/>
          <w:color w:val="auto"/>
          <w:sz w:val="24"/>
          <w:szCs w:val="24"/>
        </w:rPr>
        <w:t>(附件10)。</w:t>
      </w:r>
    </w:p>
    <w:p>
      <w:pPr>
        <w:spacing w:line="440" w:lineRule="exac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11）</w:t>
      </w:r>
      <w:r>
        <w:rPr>
          <w:rFonts w:hint="eastAsia" w:ascii="Times New Roman" w:hAnsi="Times New Roman" w:cs="Times New Roman"/>
          <w:color w:val="auto"/>
          <w:sz w:val="24"/>
          <w:szCs w:val="24"/>
        </w:rPr>
        <w:t>拟派人员不得少</w:t>
      </w:r>
      <w:r>
        <w:rPr>
          <w:rFonts w:hint="eastAsia" w:ascii="Times New Roman" w:hAnsi="Times New Roman" w:cs="Times New Roman"/>
          <w:color w:val="auto"/>
          <w:sz w:val="24"/>
          <w:szCs w:val="24"/>
        </w:rPr>
        <w:t>于</w:t>
      </w:r>
      <w:r>
        <w:rPr>
          <w:rFonts w:ascii="Times New Roman" w:hAnsi="Times New Roman" w:cs="Times New Roman"/>
          <w:color w:val="auto"/>
          <w:sz w:val="24"/>
          <w:szCs w:val="24"/>
        </w:rPr>
        <w:t>5</w:t>
      </w:r>
      <w:r>
        <w:rPr>
          <w:rFonts w:hint="eastAsia" w:ascii="Times New Roman" w:hAnsi="Times New Roman" w:cs="Times New Roman"/>
          <w:color w:val="auto"/>
          <w:sz w:val="24"/>
          <w:szCs w:val="24"/>
        </w:rPr>
        <w:t>人；</w:t>
      </w:r>
    </w:p>
    <w:p>
      <w:pPr>
        <w:spacing w:line="440" w:lineRule="exac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12）</w:t>
      </w:r>
      <w:r>
        <w:rPr>
          <w:rFonts w:hint="eastAsia" w:ascii="Times New Roman" w:hAnsi="Times New Roman" w:cs="Times New Roman"/>
          <w:color w:val="auto"/>
          <w:sz w:val="24"/>
          <w:szCs w:val="24"/>
        </w:rPr>
        <w:t>技术文件；</w:t>
      </w:r>
    </w:p>
    <w:p>
      <w:pPr>
        <w:spacing w:line="440" w:lineRule="exact"/>
        <w:ind w:firstLine="480"/>
        <w:rPr>
          <w:rFonts w:ascii="Times New Roman" w:hAnsi="Times New Roman" w:eastAsia="宋体" w:cs="Times New Roman"/>
          <w:bCs/>
          <w:color w:val="auto"/>
          <w:sz w:val="24"/>
          <w:szCs w:val="24"/>
        </w:rPr>
      </w:pPr>
      <w:r>
        <w:rPr>
          <w:rFonts w:ascii="Times New Roman" w:hAnsi="Times New Roman" w:eastAsia="宋体" w:cs="Times New Roman"/>
          <w:color w:val="auto"/>
          <w:sz w:val="24"/>
          <w:szCs w:val="24"/>
        </w:rPr>
        <w:t>本文件要求提供的其他资格证明文件及资料。</w:t>
      </w:r>
    </w:p>
    <w:p>
      <w:pPr>
        <w:spacing w:line="440" w:lineRule="exact"/>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在此，我方宣布同意如下：</w:t>
      </w:r>
    </w:p>
    <w:p>
      <w:pPr>
        <w:spacing w:line="440" w:lineRule="exact"/>
        <w:ind w:firstLine="48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 将按磋商文件的规定履行合同责任和义务；</w:t>
      </w:r>
    </w:p>
    <w:p>
      <w:pPr>
        <w:spacing w:line="440" w:lineRule="exact"/>
        <w:ind w:left="840" w:hanging="36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2. 已详细审查全部磋商文件，包括第（编号、补遗书）（如果有的话）；我们完全理解并同意放弃对这方面有不明及误解的权力；</w:t>
      </w:r>
    </w:p>
    <w:p>
      <w:pPr>
        <w:spacing w:line="440" w:lineRule="exact"/>
        <w:ind w:firstLine="48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3. 本响应文件有效期为自磋商之日起</w:t>
      </w:r>
      <w:r>
        <w:rPr>
          <w:rFonts w:hint="eastAsia" w:ascii="Times New Roman" w:hAnsi="Times New Roman" w:eastAsia="宋体" w:cs="Times New Roman"/>
          <w:color w:val="auto"/>
          <w:sz w:val="24"/>
          <w:szCs w:val="24"/>
          <w:u w:val="single"/>
          <w:lang w:val="en-US" w:eastAsia="zh-CN"/>
        </w:rPr>
        <w:t xml:space="preserve"> 60</w:t>
      </w:r>
      <w:r>
        <w:rPr>
          <w:rFonts w:ascii="Times New Roman" w:hAnsi="Times New Roman" w:eastAsia="宋体" w:cs="Times New Roman"/>
          <w:color w:val="auto"/>
          <w:sz w:val="24"/>
          <w:szCs w:val="24"/>
          <w:u w:val="single"/>
        </w:rPr>
        <w:t xml:space="preserve"> </w:t>
      </w:r>
      <w:r>
        <w:rPr>
          <w:rFonts w:ascii="Times New Roman" w:hAnsi="Times New Roman" w:eastAsia="宋体" w:cs="Times New Roman"/>
          <w:color w:val="auto"/>
          <w:sz w:val="24"/>
          <w:szCs w:val="24"/>
        </w:rPr>
        <w:t>个日历日；</w:t>
      </w:r>
    </w:p>
    <w:p>
      <w:pPr>
        <w:spacing w:line="440" w:lineRule="exact"/>
        <w:ind w:left="840" w:hanging="36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4. 同意提供按照贵方可能要求的与其磋商有关的一切数据或资料；</w:t>
      </w:r>
    </w:p>
    <w:p>
      <w:pPr>
        <w:spacing w:line="440" w:lineRule="exact"/>
        <w:ind w:firstLine="48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5. 与本磋商有关的一切正式往来信函请寄：</w:t>
      </w:r>
    </w:p>
    <w:p>
      <w:pPr>
        <w:spacing w:line="440" w:lineRule="exact"/>
        <w:ind w:firstLine="84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地址：</w:t>
      </w:r>
    </w:p>
    <w:p>
      <w:pPr>
        <w:spacing w:line="440" w:lineRule="exact"/>
        <w:ind w:firstLine="84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电话/传真：</w:t>
      </w:r>
    </w:p>
    <w:p>
      <w:pPr>
        <w:spacing w:line="440" w:lineRule="exact"/>
        <w:ind w:firstLine="84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电子信箱：</w:t>
      </w:r>
    </w:p>
    <w:p>
      <w:pPr>
        <w:spacing w:line="440" w:lineRule="exact"/>
        <w:ind w:firstLine="84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供应商（授权）代表签字：</w:t>
      </w:r>
    </w:p>
    <w:p>
      <w:pPr>
        <w:spacing w:line="440" w:lineRule="exact"/>
        <w:ind w:firstLine="84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供应商名称（公章）：</w:t>
      </w:r>
    </w:p>
    <w:p>
      <w:pPr>
        <w:spacing w:line="440" w:lineRule="exact"/>
        <w:ind w:firstLine="84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日期：</w:t>
      </w:r>
    </w:p>
    <w:p>
      <w:pPr>
        <w:spacing w:line="440" w:lineRule="exact"/>
        <w:ind w:firstLine="84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br w:type="page"/>
      </w:r>
    </w:p>
    <w:p>
      <w:pPr>
        <w:widowControl/>
        <w:jc w:val="left"/>
        <w:rPr>
          <w:rFonts w:ascii="Times New Roman" w:hAnsi="Times New Roman" w:cs="Times New Roman"/>
          <w:bCs/>
          <w:color w:val="auto"/>
          <w:sz w:val="24"/>
          <w:szCs w:val="24"/>
        </w:rPr>
      </w:pPr>
      <w:r>
        <w:rPr>
          <w:rFonts w:ascii="Times New Roman" w:hAnsi="Times New Roman" w:cs="Times New Roman"/>
          <w:bCs/>
          <w:color w:val="auto"/>
          <w:sz w:val="24"/>
          <w:szCs w:val="24"/>
        </w:rPr>
        <w:t>附件2</w:t>
      </w:r>
    </w:p>
    <w:p>
      <w:pPr>
        <w:widowControl/>
        <w:jc w:val="center"/>
        <w:rPr>
          <w:rFonts w:hint="eastAsia"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报价组成情况表</w:t>
      </w:r>
      <w:r>
        <w:rPr>
          <w:rFonts w:hint="eastAsia" w:ascii="Times New Roman" w:hAnsi="Times New Roman" w:eastAsia="宋体" w:cs="Times New Roman"/>
          <w:b/>
          <w:bCs/>
          <w:color w:val="auto"/>
          <w:sz w:val="24"/>
          <w:szCs w:val="24"/>
        </w:rPr>
        <w:t>（</w:t>
      </w:r>
      <w:r>
        <w:rPr>
          <w:rFonts w:hint="eastAsia" w:ascii="宋体" w:hAnsi="宋体" w:eastAsia="宋体" w:cs="宋体"/>
          <w:b/>
          <w:bCs/>
          <w:color w:val="auto"/>
          <w:sz w:val="24"/>
          <w:szCs w:val="24"/>
        </w:rPr>
        <w:t>养护工程量清单</w:t>
      </w:r>
      <w:r>
        <w:rPr>
          <w:rFonts w:hint="eastAsia" w:ascii="Times New Roman" w:hAnsi="Times New Roman" w:eastAsia="宋体" w:cs="Times New Roman"/>
          <w:b/>
          <w:bCs/>
          <w:color w:val="auto"/>
          <w:sz w:val="24"/>
          <w:szCs w:val="24"/>
        </w:rPr>
        <w:t>）</w:t>
      </w:r>
    </w:p>
    <w:p>
      <w:pPr>
        <w:widowControl/>
        <w:ind w:firstLine="2400" w:firstLineChars="1000"/>
        <w:jc w:val="left"/>
        <w:rPr>
          <w:rFonts w:hint="eastAsia" w:ascii="Times New Roman" w:hAnsi="Times New Roman" w:eastAsia="宋体" w:cs="Times New Roman"/>
          <w:color w:val="auto"/>
          <w:sz w:val="24"/>
          <w:szCs w:val="24"/>
        </w:rPr>
      </w:pPr>
    </w:p>
    <w:p>
      <w:pPr>
        <w:pStyle w:val="4"/>
        <w:rPr>
          <w:color w:val="auto"/>
        </w:rPr>
      </w:pPr>
    </w:p>
    <w:tbl>
      <w:tblPr>
        <w:tblStyle w:val="10"/>
        <w:tblW w:w="9357" w:type="dxa"/>
        <w:tblInd w:w="0" w:type="dxa"/>
        <w:tblLayout w:type="autofit"/>
        <w:tblCellMar>
          <w:top w:w="0" w:type="dxa"/>
          <w:left w:w="108" w:type="dxa"/>
          <w:bottom w:w="0" w:type="dxa"/>
          <w:right w:w="108" w:type="dxa"/>
        </w:tblCellMar>
      </w:tblPr>
      <w:tblGrid>
        <w:gridCol w:w="616"/>
        <w:gridCol w:w="1352"/>
        <w:gridCol w:w="5663"/>
        <w:gridCol w:w="735"/>
        <w:gridCol w:w="991"/>
      </w:tblGrid>
      <w:tr>
        <w:tblPrEx>
          <w:tblCellMar>
            <w:top w:w="0" w:type="dxa"/>
            <w:left w:w="108" w:type="dxa"/>
            <w:bottom w:w="0" w:type="dxa"/>
            <w:right w:w="108" w:type="dxa"/>
          </w:tblCellMar>
        </w:tblPrEx>
        <w:trPr>
          <w:trHeight w:val="57" w:hRule="exact"/>
        </w:trPr>
        <w:tc>
          <w:tcPr>
            <w:tcW w:w="616"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序号</w:t>
            </w:r>
          </w:p>
        </w:tc>
        <w:tc>
          <w:tcPr>
            <w:tcW w:w="1352"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项目名称</w:t>
            </w:r>
          </w:p>
        </w:tc>
        <w:tc>
          <w:tcPr>
            <w:tcW w:w="5663"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项目特征描述</w:t>
            </w:r>
          </w:p>
        </w:tc>
        <w:tc>
          <w:tcPr>
            <w:tcW w:w="73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计量单位</w:t>
            </w:r>
          </w:p>
        </w:tc>
        <w:tc>
          <w:tcPr>
            <w:tcW w:w="991"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工程量</w:t>
            </w:r>
          </w:p>
        </w:tc>
      </w:tr>
      <w:tr>
        <w:tblPrEx>
          <w:tblCellMar>
            <w:top w:w="0" w:type="dxa"/>
            <w:left w:w="108" w:type="dxa"/>
            <w:bottom w:w="0" w:type="dxa"/>
            <w:right w:w="108" w:type="dxa"/>
          </w:tblCellMar>
        </w:tblPrEx>
        <w:trPr>
          <w:trHeight w:val="312" w:hRule="atLeast"/>
        </w:trPr>
        <w:tc>
          <w:tcPr>
            <w:tcW w:w="616"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ascii="仿宋" w:hAnsi="仿宋" w:eastAsia="仿宋" w:cs="宋体"/>
                <w:color w:val="auto"/>
                <w:sz w:val="20"/>
                <w:szCs w:val="20"/>
              </w:rPr>
            </w:pPr>
          </w:p>
        </w:tc>
        <w:tc>
          <w:tcPr>
            <w:tcW w:w="1352"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ascii="仿宋" w:hAnsi="仿宋" w:eastAsia="仿宋" w:cs="宋体"/>
                <w:color w:val="auto"/>
                <w:sz w:val="20"/>
                <w:szCs w:val="20"/>
              </w:rPr>
            </w:pPr>
          </w:p>
        </w:tc>
        <w:tc>
          <w:tcPr>
            <w:tcW w:w="5663"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ascii="仿宋" w:hAnsi="仿宋" w:eastAsia="仿宋" w:cs="宋体"/>
                <w:color w:val="auto"/>
                <w:sz w:val="20"/>
                <w:szCs w:val="20"/>
              </w:rPr>
            </w:pPr>
          </w:p>
        </w:tc>
        <w:tc>
          <w:tcPr>
            <w:tcW w:w="73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ascii="仿宋" w:hAnsi="仿宋" w:eastAsia="仿宋" w:cs="宋体"/>
                <w:color w:val="auto"/>
                <w:sz w:val="20"/>
                <w:szCs w:val="20"/>
              </w:rPr>
            </w:pPr>
          </w:p>
        </w:tc>
        <w:tc>
          <w:tcPr>
            <w:tcW w:w="991"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ascii="仿宋" w:hAnsi="仿宋" w:eastAsia="仿宋" w:cs="宋体"/>
                <w:color w:val="auto"/>
                <w:sz w:val="20"/>
                <w:szCs w:val="20"/>
              </w:rPr>
            </w:pPr>
          </w:p>
        </w:tc>
      </w:tr>
      <w:tr>
        <w:tblPrEx>
          <w:tblCellMar>
            <w:top w:w="0" w:type="dxa"/>
            <w:left w:w="108" w:type="dxa"/>
            <w:bottom w:w="0" w:type="dxa"/>
            <w:right w:w="108" w:type="dxa"/>
          </w:tblCellMar>
        </w:tblPrEx>
        <w:trPr>
          <w:trHeight w:val="312" w:hRule="atLeast"/>
        </w:trPr>
        <w:tc>
          <w:tcPr>
            <w:tcW w:w="616"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ascii="仿宋" w:hAnsi="仿宋" w:eastAsia="仿宋" w:cs="宋体"/>
                <w:color w:val="auto"/>
                <w:sz w:val="20"/>
                <w:szCs w:val="20"/>
              </w:rPr>
            </w:pPr>
          </w:p>
        </w:tc>
        <w:tc>
          <w:tcPr>
            <w:tcW w:w="1352"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ascii="仿宋" w:hAnsi="仿宋" w:eastAsia="仿宋" w:cs="宋体"/>
                <w:color w:val="auto"/>
                <w:sz w:val="20"/>
                <w:szCs w:val="20"/>
              </w:rPr>
            </w:pPr>
          </w:p>
        </w:tc>
        <w:tc>
          <w:tcPr>
            <w:tcW w:w="5663"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ascii="仿宋" w:hAnsi="仿宋" w:eastAsia="仿宋" w:cs="宋体"/>
                <w:color w:val="auto"/>
                <w:sz w:val="20"/>
                <w:szCs w:val="20"/>
              </w:rPr>
            </w:pPr>
          </w:p>
        </w:tc>
        <w:tc>
          <w:tcPr>
            <w:tcW w:w="73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ascii="仿宋" w:hAnsi="仿宋" w:eastAsia="仿宋" w:cs="宋体"/>
                <w:color w:val="auto"/>
                <w:sz w:val="20"/>
                <w:szCs w:val="20"/>
              </w:rPr>
            </w:pPr>
          </w:p>
        </w:tc>
        <w:tc>
          <w:tcPr>
            <w:tcW w:w="991"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ascii="仿宋" w:hAnsi="仿宋" w:eastAsia="仿宋" w:cs="宋体"/>
                <w:color w:val="auto"/>
                <w:sz w:val="20"/>
                <w:szCs w:val="20"/>
              </w:rPr>
            </w:pPr>
          </w:p>
        </w:tc>
      </w:tr>
      <w:tr>
        <w:tblPrEx>
          <w:tblCellMar>
            <w:top w:w="0" w:type="dxa"/>
            <w:left w:w="108" w:type="dxa"/>
            <w:bottom w:w="0" w:type="dxa"/>
            <w:right w:w="108" w:type="dxa"/>
          </w:tblCellMar>
        </w:tblPrEx>
        <w:trPr>
          <w:trHeight w:val="285"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ascii="仿宋" w:hAnsi="仿宋" w:eastAsia="仿宋" w:cs="宋体"/>
                <w:color w:val="auto"/>
                <w:sz w:val="20"/>
                <w:szCs w:val="20"/>
              </w:rPr>
            </w:pP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b/>
                <w:bCs/>
                <w:color w:val="auto"/>
                <w:sz w:val="20"/>
                <w:szCs w:val="20"/>
              </w:rPr>
            </w:pPr>
            <w:r>
              <w:rPr>
                <w:rFonts w:hint="eastAsia" w:ascii="仿宋" w:hAnsi="仿宋" w:eastAsia="仿宋" w:cs="宋体"/>
                <w:b/>
                <w:bCs/>
                <w:color w:val="auto"/>
                <w:kern w:val="0"/>
                <w:sz w:val="20"/>
                <w:szCs w:val="20"/>
                <w:lang w:bidi="ar"/>
              </w:rPr>
              <w:t>高架桥绿地</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ascii="仿宋" w:hAnsi="仿宋" w:eastAsia="仿宋" w:cs="宋体"/>
                <w:color w:val="auto"/>
                <w:sz w:val="20"/>
                <w:szCs w:val="20"/>
              </w:rPr>
            </w:pP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ascii="仿宋" w:hAnsi="仿宋" w:eastAsia="仿宋" w:cs="宋体"/>
                <w:color w:val="auto"/>
                <w:sz w:val="20"/>
                <w:szCs w:val="20"/>
              </w:rPr>
            </w:pP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ascii="仿宋" w:hAnsi="仿宋" w:eastAsia="仿宋" w:cs="宋体"/>
                <w:color w:val="auto"/>
                <w:sz w:val="20"/>
                <w:szCs w:val="20"/>
              </w:rPr>
            </w:pPr>
          </w:p>
        </w:tc>
      </w:tr>
      <w:tr>
        <w:tblPrEx>
          <w:tblCellMar>
            <w:top w:w="0" w:type="dxa"/>
            <w:left w:w="108" w:type="dxa"/>
            <w:bottom w:w="0" w:type="dxa"/>
            <w:right w:w="108" w:type="dxa"/>
          </w:tblCellMar>
        </w:tblPrEx>
        <w:trPr>
          <w:trHeight w:val="285"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ascii="仿宋" w:hAnsi="仿宋" w:eastAsia="仿宋" w:cs="宋体"/>
                <w:color w:val="auto"/>
                <w:sz w:val="20"/>
                <w:szCs w:val="20"/>
              </w:rPr>
            </w:pP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乔灌木</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ascii="仿宋" w:hAnsi="仿宋" w:eastAsia="仿宋" w:cs="宋体"/>
                <w:color w:val="auto"/>
                <w:sz w:val="20"/>
                <w:szCs w:val="20"/>
              </w:rPr>
            </w:pP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ascii="仿宋" w:hAnsi="仿宋" w:eastAsia="仿宋" w:cs="宋体"/>
                <w:color w:val="auto"/>
                <w:sz w:val="20"/>
                <w:szCs w:val="20"/>
              </w:rPr>
            </w:pP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ascii="仿宋" w:hAnsi="仿宋" w:eastAsia="仿宋" w:cs="宋体"/>
                <w:color w:val="auto"/>
                <w:sz w:val="20"/>
                <w:szCs w:val="20"/>
              </w:rPr>
            </w:pPr>
          </w:p>
        </w:tc>
      </w:tr>
      <w:tr>
        <w:tblPrEx>
          <w:tblCellMar>
            <w:top w:w="0" w:type="dxa"/>
            <w:left w:w="108" w:type="dxa"/>
            <w:bottom w:w="0" w:type="dxa"/>
            <w:right w:w="108" w:type="dxa"/>
          </w:tblCellMar>
        </w:tblPrEx>
        <w:trPr>
          <w:trHeight w:val="1680"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1</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养护日本晚樱</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1.种类:日本晚樱</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2.地径：7-8cm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3.高度:250-300cm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4.冠幅:250-300cm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5.养护期:12个月</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6、全冠，株形饱满，姿态优美</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株</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11</w:t>
            </w:r>
          </w:p>
        </w:tc>
      </w:tr>
      <w:tr>
        <w:tblPrEx>
          <w:tblCellMar>
            <w:top w:w="0" w:type="dxa"/>
            <w:left w:w="108" w:type="dxa"/>
            <w:bottom w:w="0" w:type="dxa"/>
            <w:right w:w="108" w:type="dxa"/>
          </w:tblCellMar>
        </w:tblPrEx>
        <w:trPr>
          <w:trHeight w:val="1361" w:hRule="exac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2</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养护芭蕉</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1.种类:芭蕉</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2.株高、冠幅:300-350，250</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3.养护期:12个月</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4、全冠，株形饱满，姿态优美</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株</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20</w:t>
            </w:r>
          </w:p>
        </w:tc>
      </w:tr>
      <w:tr>
        <w:tblPrEx>
          <w:tblCellMar>
            <w:top w:w="0" w:type="dxa"/>
            <w:left w:w="108" w:type="dxa"/>
            <w:bottom w:w="0" w:type="dxa"/>
            <w:right w:w="108" w:type="dxa"/>
          </w:tblCellMar>
        </w:tblPrEx>
        <w:trPr>
          <w:trHeight w:val="1920"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3</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养护红叶石楠树</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1.种类:红叶石楠树</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2、地径：8-10cm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2.冠丛高:250-300cm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3.蓬径:200-250cm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4.养护期:12个月</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5、全冠，株形饱满，姿态优美</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株</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6</w:t>
            </w:r>
          </w:p>
        </w:tc>
      </w:tr>
      <w:tr>
        <w:tblPrEx>
          <w:tblCellMar>
            <w:top w:w="0" w:type="dxa"/>
            <w:left w:w="108" w:type="dxa"/>
            <w:bottom w:w="0" w:type="dxa"/>
            <w:right w:w="108" w:type="dxa"/>
          </w:tblCellMar>
        </w:tblPrEx>
        <w:trPr>
          <w:trHeight w:val="1440"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4</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养护山茶</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1.种类:山茶</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2.高:180-200cm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3.蓬径:120-150cm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4.养护期:12个月</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5、全冠，株形饱满，姿态优美</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株</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6</w:t>
            </w:r>
          </w:p>
        </w:tc>
      </w:tr>
      <w:tr>
        <w:tblPrEx>
          <w:tblCellMar>
            <w:top w:w="0" w:type="dxa"/>
            <w:left w:w="108" w:type="dxa"/>
            <w:bottom w:w="0" w:type="dxa"/>
            <w:right w:w="108" w:type="dxa"/>
          </w:tblCellMar>
        </w:tblPrEx>
        <w:trPr>
          <w:trHeight w:val="285"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ascii="仿宋" w:hAnsi="仿宋" w:eastAsia="仿宋" w:cs="宋体"/>
                <w:color w:val="auto"/>
                <w:sz w:val="20"/>
                <w:szCs w:val="20"/>
              </w:rPr>
            </w:pP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b/>
                <w:bCs/>
                <w:color w:val="auto"/>
                <w:sz w:val="20"/>
                <w:szCs w:val="20"/>
              </w:rPr>
            </w:pPr>
            <w:r>
              <w:rPr>
                <w:rFonts w:hint="eastAsia" w:ascii="仿宋" w:hAnsi="仿宋" w:eastAsia="仿宋" w:cs="宋体"/>
                <w:b/>
                <w:bCs/>
                <w:color w:val="auto"/>
                <w:kern w:val="0"/>
                <w:sz w:val="20"/>
                <w:szCs w:val="20"/>
                <w:lang w:bidi="ar"/>
              </w:rPr>
              <w:t>下站房绿地</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ascii="仿宋" w:hAnsi="仿宋" w:eastAsia="仿宋" w:cs="宋体"/>
                <w:color w:val="auto"/>
                <w:sz w:val="20"/>
                <w:szCs w:val="20"/>
              </w:rPr>
            </w:pP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ascii="仿宋" w:hAnsi="仿宋" w:eastAsia="仿宋" w:cs="宋体"/>
                <w:color w:val="auto"/>
                <w:sz w:val="20"/>
                <w:szCs w:val="20"/>
              </w:rPr>
            </w:pP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ascii="仿宋" w:hAnsi="仿宋" w:eastAsia="仿宋" w:cs="宋体"/>
                <w:color w:val="auto"/>
                <w:sz w:val="20"/>
                <w:szCs w:val="20"/>
              </w:rPr>
            </w:pPr>
          </w:p>
        </w:tc>
      </w:tr>
      <w:tr>
        <w:tblPrEx>
          <w:tblCellMar>
            <w:top w:w="0" w:type="dxa"/>
            <w:left w:w="108" w:type="dxa"/>
            <w:bottom w:w="0" w:type="dxa"/>
            <w:right w:w="108" w:type="dxa"/>
          </w:tblCellMar>
        </w:tblPrEx>
        <w:trPr>
          <w:trHeight w:val="285"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ascii="仿宋" w:hAnsi="仿宋" w:eastAsia="仿宋" w:cs="宋体"/>
                <w:color w:val="auto"/>
                <w:sz w:val="20"/>
                <w:szCs w:val="20"/>
              </w:rPr>
            </w:pP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乔灌木</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ascii="仿宋" w:hAnsi="仿宋" w:eastAsia="仿宋" w:cs="宋体"/>
                <w:color w:val="auto"/>
                <w:sz w:val="20"/>
                <w:szCs w:val="20"/>
              </w:rPr>
            </w:pP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ascii="仿宋" w:hAnsi="仿宋" w:eastAsia="仿宋" w:cs="宋体"/>
                <w:color w:val="auto"/>
                <w:sz w:val="20"/>
                <w:szCs w:val="20"/>
              </w:rPr>
            </w:pP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ascii="仿宋" w:hAnsi="仿宋" w:eastAsia="仿宋" w:cs="宋体"/>
                <w:color w:val="auto"/>
                <w:sz w:val="20"/>
                <w:szCs w:val="20"/>
              </w:rPr>
            </w:pPr>
          </w:p>
        </w:tc>
      </w:tr>
      <w:tr>
        <w:tblPrEx>
          <w:tblCellMar>
            <w:top w:w="0" w:type="dxa"/>
            <w:left w:w="108" w:type="dxa"/>
            <w:bottom w:w="0" w:type="dxa"/>
            <w:right w:w="108" w:type="dxa"/>
          </w:tblCellMar>
        </w:tblPrEx>
        <w:trPr>
          <w:trHeight w:val="1433"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5</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养护银杏B</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1.种类:银杏B</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2、胸径：15-16cm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3.株高、冠幅:800-900cm，250-300cm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4.养护期:12个月</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5、全冠,树冠丰满（含草绳绕树及支撑等措施项目）</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株</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4</w:t>
            </w:r>
          </w:p>
        </w:tc>
      </w:tr>
      <w:tr>
        <w:tblPrEx>
          <w:tblCellMar>
            <w:top w:w="0" w:type="dxa"/>
            <w:left w:w="108" w:type="dxa"/>
            <w:bottom w:w="0" w:type="dxa"/>
            <w:right w:w="108" w:type="dxa"/>
          </w:tblCellMar>
        </w:tblPrEx>
        <w:trPr>
          <w:trHeight w:val="1588" w:hRule="exac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6</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养护香樟</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1.种类:香樟C</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2、胸径：16-17cm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3.株高、冠幅:550-600cm，350-400cm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4.养护期:12个月</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5、全冠,树冠丰满（含草绳绕树及支撑等措施项目）</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株</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9</w:t>
            </w:r>
          </w:p>
        </w:tc>
      </w:tr>
      <w:tr>
        <w:tblPrEx>
          <w:tblCellMar>
            <w:top w:w="0" w:type="dxa"/>
            <w:left w:w="108" w:type="dxa"/>
            <w:bottom w:w="0" w:type="dxa"/>
            <w:right w:w="108" w:type="dxa"/>
          </w:tblCellMar>
        </w:tblPrEx>
        <w:trPr>
          <w:trHeight w:val="1920"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7</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养护鸡爪槭</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1.种类:鸡爪槭</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2.地径：6-8cm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2.冠丛高:200-300cm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3.蓬径:180-200cm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4.养护期:12个月</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5、全冠，株形饱满，姿态优美</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株</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6</w:t>
            </w:r>
          </w:p>
        </w:tc>
      </w:tr>
      <w:tr>
        <w:tblPrEx>
          <w:tblCellMar>
            <w:top w:w="0" w:type="dxa"/>
            <w:left w:w="108" w:type="dxa"/>
            <w:bottom w:w="0" w:type="dxa"/>
            <w:right w:w="108" w:type="dxa"/>
          </w:tblCellMar>
        </w:tblPrEx>
        <w:trPr>
          <w:trHeight w:val="1920"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8</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养护红梅</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1.种类:红梅</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2.地径8-10cm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2.冠丛高:200-250cm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3.蓬径:220-250cm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4.养护期:12个月</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5、全冠，株形饱满，姿态优美</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株</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9</w:t>
            </w:r>
          </w:p>
        </w:tc>
      </w:tr>
      <w:tr>
        <w:tblPrEx>
          <w:tblCellMar>
            <w:top w:w="0" w:type="dxa"/>
            <w:left w:w="108" w:type="dxa"/>
            <w:bottom w:w="0" w:type="dxa"/>
            <w:right w:w="108" w:type="dxa"/>
          </w:tblCellMar>
        </w:tblPrEx>
        <w:trPr>
          <w:trHeight w:val="1519"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9</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养护丛生腊梅</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1.种类:腊梅</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2.冠丛高:250-300cm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3.蓬径:250-300cm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4.养护期:12个月</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5、全冠，株形饱满，姿态优美</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株</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15</w:t>
            </w:r>
          </w:p>
        </w:tc>
      </w:tr>
      <w:tr>
        <w:tblPrEx>
          <w:tblCellMar>
            <w:top w:w="0" w:type="dxa"/>
            <w:left w:w="108" w:type="dxa"/>
            <w:bottom w:w="0" w:type="dxa"/>
            <w:right w:w="108" w:type="dxa"/>
          </w:tblCellMar>
        </w:tblPrEx>
        <w:trPr>
          <w:trHeight w:val="1529"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10</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养护山茶</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1.种类:山茶</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2.高:180-200cm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3.蓬径:120-150cm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4.养护期:12个月</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5、全冠，株形饱满，姿态优美</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株</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20</w:t>
            </w:r>
          </w:p>
        </w:tc>
      </w:tr>
      <w:tr>
        <w:tblPrEx>
          <w:tblCellMar>
            <w:top w:w="0" w:type="dxa"/>
            <w:left w:w="108" w:type="dxa"/>
            <w:bottom w:w="0" w:type="dxa"/>
            <w:right w:w="108" w:type="dxa"/>
          </w:tblCellMar>
        </w:tblPrEx>
        <w:trPr>
          <w:trHeight w:val="1793"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11</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养护红叶石楠树</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1.种类:红叶石楠树</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2、地径：8-10cm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2.冠丛高:250-300cm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3.蓬径:200-250cm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4.养护期:12个月</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5、全冠，株形饱满，姿态优美</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株</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16</w:t>
            </w:r>
          </w:p>
        </w:tc>
      </w:tr>
      <w:tr>
        <w:tblPrEx>
          <w:tblCellMar>
            <w:top w:w="0" w:type="dxa"/>
            <w:left w:w="108" w:type="dxa"/>
            <w:bottom w:w="0" w:type="dxa"/>
            <w:right w:w="108" w:type="dxa"/>
          </w:tblCellMar>
        </w:tblPrEx>
        <w:trPr>
          <w:trHeight w:val="1565"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12</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养护红叶李B</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1.种类:红叶李B</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2、地径：10cm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3.株高、冠幅:300-350cm，200-250cm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4.养护期:12个月</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5、全冠，株形饱满，姿态优美</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株</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13</w:t>
            </w:r>
          </w:p>
        </w:tc>
      </w:tr>
      <w:tr>
        <w:tblPrEx>
          <w:tblCellMar>
            <w:top w:w="0" w:type="dxa"/>
            <w:left w:w="108" w:type="dxa"/>
            <w:bottom w:w="0" w:type="dxa"/>
            <w:right w:w="108" w:type="dxa"/>
          </w:tblCellMar>
        </w:tblPrEx>
        <w:trPr>
          <w:trHeight w:val="1584"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13</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养护红枫C</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1.种类:红枫C</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2、地径：5cm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3.株高、冠幅:180-220cm，150-200cm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4.养护期:12个月</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5、全冠，株形饱满，姿态优美（含草绳绕树及支撑等措施项目）</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株</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13</w:t>
            </w:r>
          </w:p>
        </w:tc>
      </w:tr>
      <w:tr>
        <w:tblPrEx>
          <w:tblCellMar>
            <w:top w:w="0" w:type="dxa"/>
            <w:left w:w="108" w:type="dxa"/>
            <w:bottom w:w="0" w:type="dxa"/>
            <w:right w:w="108" w:type="dxa"/>
          </w:tblCellMar>
        </w:tblPrEx>
        <w:trPr>
          <w:trHeight w:val="1266"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14</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养护茶梅球</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1.种类:茶梅球</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2.高度、冠幅：H80cm、P100cm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3.养护期:12个月</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4.篷形美丽不脱脚（成品球）</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株</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8</w:t>
            </w:r>
          </w:p>
        </w:tc>
      </w:tr>
      <w:tr>
        <w:tblPrEx>
          <w:tblCellMar>
            <w:top w:w="0" w:type="dxa"/>
            <w:left w:w="108" w:type="dxa"/>
            <w:bottom w:w="0" w:type="dxa"/>
            <w:right w:w="108" w:type="dxa"/>
          </w:tblCellMar>
        </w:tblPrEx>
        <w:trPr>
          <w:trHeight w:val="1554"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15</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养护色带</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1.苗木、花卉种类:毛竹</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2、地径3-4cm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2.株高：350-400cm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3.单位面积株数:10株/㎡</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4.养护期:12个月</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m2</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398</w:t>
            </w:r>
          </w:p>
        </w:tc>
      </w:tr>
      <w:tr>
        <w:tblPrEx>
          <w:tblCellMar>
            <w:top w:w="0" w:type="dxa"/>
            <w:left w:w="108" w:type="dxa"/>
            <w:bottom w:w="0" w:type="dxa"/>
            <w:right w:w="108" w:type="dxa"/>
          </w:tblCellMar>
        </w:tblPrEx>
        <w:trPr>
          <w:trHeight w:val="1263"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16</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养护红叶石楠球B</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1.种类:红叶石楠球B</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2.高度、冠幅：H150cm、P160cm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2.养护期:12个月</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3.3.篷形美丽不脱脚（成品球）</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株</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34</w:t>
            </w:r>
          </w:p>
        </w:tc>
      </w:tr>
      <w:tr>
        <w:tblPrEx>
          <w:tblCellMar>
            <w:top w:w="0" w:type="dxa"/>
            <w:left w:w="108" w:type="dxa"/>
            <w:bottom w:w="0" w:type="dxa"/>
            <w:right w:w="108" w:type="dxa"/>
          </w:tblCellMar>
        </w:tblPrEx>
        <w:trPr>
          <w:trHeight w:val="1253"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17</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养护海桐球C</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 xml:space="preserve">1.种类:海桐球C </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2.高度、冠幅：H120cm、P150cm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2.养护期:12个月</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3.篷形美丽不脱脚（成品球）</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株</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25</w:t>
            </w:r>
          </w:p>
        </w:tc>
      </w:tr>
      <w:tr>
        <w:tblPrEx>
          <w:tblCellMar>
            <w:top w:w="0" w:type="dxa"/>
            <w:left w:w="108" w:type="dxa"/>
            <w:bottom w:w="0" w:type="dxa"/>
            <w:right w:w="108" w:type="dxa"/>
          </w:tblCellMar>
        </w:tblPrEx>
        <w:trPr>
          <w:trHeight w:val="1568"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18</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养护乌桕（丛生）</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1.种类:乌桕（丛生）</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2.株高、冠幅:800-900，500-550</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3.养护期:12个月</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4、全冠，树形高挑。枝形自然开阔，姿态优美，3枝以上/丛，总公分数量不低于40cm</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株</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1</w:t>
            </w:r>
          </w:p>
        </w:tc>
      </w:tr>
      <w:tr>
        <w:tblPrEx>
          <w:tblCellMar>
            <w:top w:w="0" w:type="dxa"/>
            <w:left w:w="108" w:type="dxa"/>
            <w:bottom w:w="0" w:type="dxa"/>
            <w:right w:w="108" w:type="dxa"/>
          </w:tblCellMar>
        </w:tblPrEx>
        <w:trPr>
          <w:trHeight w:val="1535"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19</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养护乌桕</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1.种类:乌桕</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2、胸径：15cm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3.株高、冠幅:800-900cm，500-550cm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4.养护期:12个月</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5、全冠，枝形开展，姿态优美</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株</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4</w:t>
            </w:r>
          </w:p>
        </w:tc>
      </w:tr>
      <w:tr>
        <w:tblPrEx>
          <w:tblCellMar>
            <w:top w:w="0" w:type="dxa"/>
            <w:left w:w="108" w:type="dxa"/>
            <w:bottom w:w="0" w:type="dxa"/>
            <w:right w:w="108" w:type="dxa"/>
          </w:tblCellMar>
        </w:tblPrEx>
        <w:trPr>
          <w:trHeight w:val="1573"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20</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养护杨梅A</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1.种类:杨梅</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2.胸径或干径:D18cm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3.株高、冠幅:500-550，400-450</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4.养护期:12个月</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5、全冠，株形饱满，姿态优美</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株</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1</w:t>
            </w:r>
          </w:p>
        </w:tc>
      </w:tr>
      <w:tr>
        <w:tblPrEx>
          <w:tblCellMar>
            <w:top w:w="0" w:type="dxa"/>
            <w:left w:w="108" w:type="dxa"/>
            <w:bottom w:w="0" w:type="dxa"/>
            <w:right w:w="108" w:type="dxa"/>
          </w:tblCellMar>
        </w:tblPrEx>
        <w:trPr>
          <w:trHeight w:val="1701" w:hRule="exac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21</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养护丹桂B</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1.种类:丹桂B</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2.胸径或干径:15-16</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3.株高、冠幅:450-500，450-500</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4.养护期:12个月</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5、全冠，造型优美，树形饱满</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株</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10</w:t>
            </w:r>
          </w:p>
        </w:tc>
      </w:tr>
      <w:tr>
        <w:tblPrEx>
          <w:tblCellMar>
            <w:top w:w="0" w:type="dxa"/>
            <w:left w:w="108" w:type="dxa"/>
            <w:bottom w:w="0" w:type="dxa"/>
            <w:right w:w="108" w:type="dxa"/>
          </w:tblCellMar>
        </w:tblPrEx>
        <w:trPr>
          <w:trHeight w:val="1920"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22</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养护红叶碧桃</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1.种类:红叶碧桃</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2、地径：6-8cm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2.冠丛高:250-300cm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3.蓬径:150-200cm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4.养护期:12个月</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5、全冠，株形饱满，姿态优美</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株</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3</w:t>
            </w:r>
          </w:p>
        </w:tc>
      </w:tr>
      <w:tr>
        <w:tblPrEx>
          <w:tblCellMar>
            <w:top w:w="0" w:type="dxa"/>
            <w:left w:w="108" w:type="dxa"/>
            <w:bottom w:w="0" w:type="dxa"/>
            <w:right w:w="108" w:type="dxa"/>
          </w:tblCellMar>
        </w:tblPrEx>
        <w:trPr>
          <w:trHeight w:val="1680"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23</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养护木槿</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1.种类:木槿</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2.地径：8cm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3.高度:250-280cm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4.冠幅:180-200cm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5.养护期:12个月</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6、全冠，株形饱满，姿态优美</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株</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6</w:t>
            </w:r>
          </w:p>
        </w:tc>
      </w:tr>
      <w:tr>
        <w:tblPrEx>
          <w:tblCellMar>
            <w:top w:w="0" w:type="dxa"/>
            <w:left w:w="108" w:type="dxa"/>
            <w:bottom w:w="0" w:type="dxa"/>
            <w:right w:w="108" w:type="dxa"/>
          </w:tblCellMar>
        </w:tblPrEx>
        <w:trPr>
          <w:trHeight w:val="1680"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24</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养护日本晚樱</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1.种类:日本晚樱</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2.地径：7-8cm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3.高度:250-300cm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4.冠幅:250-300cm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5.养护期:12个月</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6、全冠，株形饱满，姿态优美</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株</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23</w:t>
            </w:r>
          </w:p>
        </w:tc>
      </w:tr>
      <w:tr>
        <w:tblPrEx>
          <w:tblCellMar>
            <w:top w:w="0" w:type="dxa"/>
            <w:left w:w="108" w:type="dxa"/>
            <w:bottom w:w="0" w:type="dxa"/>
            <w:right w:w="108" w:type="dxa"/>
          </w:tblCellMar>
        </w:tblPrEx>
        <w:trPr>
          <w:trHeight w:val="1680"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25</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养护日本早樱</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1.种类:日本早樱</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2.地径：7-8cm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3.高度:250-300cm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4.冠幅:250-300cm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5.养护期:12个月</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6、全冠，株形饱满，姿态优美</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株</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19</w:t>
            </w:r>
          </w:p>
        </w:tc>
      </w:tr>
      <w:tr>
        <w:tblPrEx>
          <w:tblCellMar>
            <w:top w:w="0" w:type="dxa"/>
            <w:left w:w="108" w:type="dxa"/>
            <w:bottom w:w="0" w:type="dxa"/>
            <w:right w:w="108" w:type="dxa"/>
          </w:tblCellMar>
        </w:tblPrEx>
        <w:trPr>
          <w:trHeight w:val="1680"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26</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养护垂丝海棠</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1.种类:垂丝海棠</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2.地径:6-8cm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3.高度:250-300cm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4.冠幅:250-300cm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5.养护期:12个月</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6、全冠，株形饱满，姿态优美</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株</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27</w:t>
            </w:r>
          </w:p>
        </w:tc>
      </w:tr>
      <w:tr>
        <w:tblPrEx>
          <w:tblCellMar>
            <w:top w:w="0" w:type="dxa"/>
            <w:left w:w="108" w:type="dxa"/>
            <w:bottom w:w="0" w:type="dxa"/>
            <w:right w:w="108" w:type="dxa"/>
          </w:tblCellMar>
        </w:tblPrEx>
        <w:trPr>
          <w:trHeight w:val="1680"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27</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养护树状月季</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1.种类:树状月季</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2.胸径或干径:D5</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3.株高、冠幅:160-180，80-90</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4.养护期:12个月</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5、欧月，球形饱满，姿态优美</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株</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9</w:t>
            </w:r>
          </w:p>
        </w:tc>
      </w:tr>
      <w:tr>
        <w:tblPrEx>
          <w:tblCellMar>
            <w:top w:w="0" w:type="dxa"/>
            <w:left w:w="108" w:type="dxa"/>
            <w:bottom w:w="0" w:type="dxa"/>
            <w:right w:w="108" w:type="dxa"/>
          </w:tblCellMar>
        </w:tblPrEx>
        <w:trPr>
          <w:trHeight w:val="285"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ascii="仿宋" w:hAnsi="仿宋" w:eastAsia="仿宋" w:cs="宋体"/>
                <w:color w:val="auto"/>
                <w:sz w:val="20"/>
                <w:szCs w:val="20"/>
              </w:rPr>
            </w:pP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地被</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ascii="仿宋" w:hAnsi="仿宋" w:eastAsia="仿宋" w:cs="宋体"/>
                <w:color w:val="auto"/>
                <w:sz w:val="20"/>
                <w:szCs w:val="20"/>
              </w:rPr>
            </w:pP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ascii="仿宋" w:hAnsi="仿宋" w:eastAsia="仿宋" w:cs="宋体"/>
                <w:color w:val="auto"/>
                <w:sz w:val="20"/>
                <w:szCs w:val="20"/>
              </w:rPr>
            </w:pP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ascii="仿宋" w:hAnsi="仿宋" w:eastAsia="仿宋" w:cs="宋体"/>
                <w:color w:val="auto"/>
                <w:sz w:val="20"/>
                <w:szCs w:val="20"/>
              </w:rPr>
            </w:pPr>
          </w:p>
        </w:tc>
      </w:tr>
      <w:tr>
        <w:tblPrEx>
          <w:tblCellMar>
            <w:top w:w="0" w:type="dxa"/>
            <w:left w:w="108" w:type="dxa"/>
            <w:bottom w:w="0" w:type="dxa"/>
            <w:right w:w="108" w:type="dxa"/>
          </w:tblCellMar>
        </w:tblPrEx>
        <w:trPr>
          <w:trHeight w:val="1361" w:hRule="exac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28</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养护色带</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1.苗木、花卉种类:南天竹</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2.株高或蓬径:50-60cm、25-30cm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3.单位面积株数:48株/㎡</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4.养护期:12个月</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m2</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132</w:t>
            </w:r>
          </w:p>
        </w:tc>
      </w:tr>
      <w:tr>
        <w:tblPrEx>
          <w:tblCellMar>
            <w:top w:w="0" w:type="dxa"/>
            <w:left w:w="108" w:type="dxa"/>
            <w:bottom w:w="0" w:type="dxa"/>
            <w:right w:w="108" w:type="dxa"/>
          </w:tblCellMar>
        </w:tblPrEx>
        <w:trPr>
          <w:trHeight w:val="720"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29</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养护草皮</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1.草皮种类：麦冬</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2.麦冬高度：10cm</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3.养护期:12个月</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m2</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433</w:t>
            </w:r>
          </w:p>
        </w:tc>
      </w:tr>
      <w:tr>
        <w:tblPrEx>
          <w:tblCellMar>
            <w:top w:w="0" w:type="dxa"/>
            <w:left w:w="108" w:type="dxa"/>
            <w:bottom w:w="0" w:type="dxa"/>
            <w:right w:w="108" w:type="dxa"/>
          </w:tblCellMar>
        </w:tblPrEx>
        <w:trPr>
          <w:trHeight w:val="1308"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30</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养护色带</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1.苗木、花卉种类:云南黄馨</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2.株高或蓬径:40-45cm、25-30cm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3.单位面积株数:48株/㎡</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4.养护期:12个月</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m2</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441.1</w:t>
            </w:r>
          </w:p>
        </w:tc>
      </w:tr>
      <w:tr>
        <w:tblPrEx>
          <w:tblCellMar>
            <w:top w:w="0" w:type="dxa"/>
            <w:left w:w="108" w:type="dxa"/>
            <w:bottom w:w="0" w:type="dxa"/>
            <w:right w:w="108" w:type="dxa"/>
          </w:tblCellMar>
        </w:tblPrEx>
        <w:trPr>
          <w:trHeight w:val="1266"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31</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养护色带</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1.苗木、花卉种类:金森女贞</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2.株高或蓬径:H30-35cm、P30-35cm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3.单位面积株数:49株/㎡(毛球）</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4.养护期:12个月</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m2</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495.3</w:t>
            </w:r>
          </w:p>
        </w:tc>
      </w:tr>
      <w:tr>
        <w:tblPrEx>
          <w:tblCellMar>
            <w:top w:w="0" w:type="dxa"/>
            <w:left w:w="108" w:type="dxa"/>
            <w:bottom w:w="0" w:type="dxa"/>
            <w:right w:w="108" w:type="dxa"/>
          </w:tblCellMar>
        </w:tblPrEx>
        <w:trPr>
          <w:trHeight w:val="1272"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32</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养护色带</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1.苗木、花卉种类:红叶石楠</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2.株高或蓬径:H40-45cm、P30-35cm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3.单位面积株数:49株/㎡(毛球）</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4.养护期:12个月</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m2</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381.75</w:t>
            </w:r>
          </w:p>
        </w:tc>
      </w:tr>
      <w:tr>
        <w:tblPrEx>
          <w:tblCellMar>
            <w:top w:w="0" w:type="dxa"/>
            <w:left w:w="108" w:type="dxa"/>
            <w:bottom w:w="0" w:type="dxa"/>
            <w:right w:w="108" w:type="dxa"/>
          </w:tblCellMar>
        </w:tblPrEx>
        <w:trPr>
          <w:trHeight w:val="980"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33</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养护攀缘植物</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1.植物种类:常青油麻藤</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2.高度及蓬径:80-100cm、30-40cm</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3.养护期:12个月</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株</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80</w:t>
            </w:r>
          </w:p>
        </w:tc>
      </w:tr>
      <w:tr>
        <w:tblPrEx>
          <w:tblCellMar>
            <w:top w:w="0" w:type="dxa"/>
            <w:left w:w="108" w:type="dxa"/>
            <w:bottom w:w="0" w:type="dxa"/>
            <w:right w:w="108" w:type="dxa"/>
          </w:tblCellMar>
        </w:tblPrEx>
        <w:trPr>
          <w:trHeight w:val="986"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34</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养护攀缘植物</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1.植物种类:常青油麻藤</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2.高度及蓬径:80-100cm、30-40cm</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3.养护期:12个月</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株</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2854</w:t>
            </w:r>
          </w:p>
        </w:tc>
      </w:tr>
      <w:tr>
        <w:tblPrEx>
          <w:tblCellMar>
            <w:top w:w="0" w:type="dxa"/>
            <w:left w:w="108" w:type="dxa"/>
            <w:bottom w:w="0" w:type="dxa"/>
            <w:right w:w="108" w:type="dxa"/>
          </w:tblCellMar>
        </w:tblPrEx>
        <w:trPr>
          <w:trHeight w:val="1265"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35</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养护八仙花</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1.苗木、花卉种类:八仙花</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2.株高或蓬径:30-35cm、25-30cm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3.单位面积株数:49株/平米，品字形密植</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4.养护期:12个月</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m2</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173.03</w:t>
            </w:r>
          </w:p>
        </w:tc>
      </w:tr>
      <w:tr>
        <w:tblPrEx>
          <w:tblCellMar>
            <w:top w:w="0" w:type="dxa"/>
            <w:left w:w="108" w:type="dxa"/>
            <w:bottom w:w="0" w:type="dxa"/>
            <w:right w:w="108" w:type="dxa"/>
          </w:tblCellMar>
        </w:tblPrEx>
        <w:trPr>
          <w:trHeight w:val="1257"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36</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养护色带</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1.苗木、花卉种类:金边大花六道木</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2.株高或蓬径:40-45cm、25-30cm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3.单位面积株数:49株/㎡</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4.养护期:12个月</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m2</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125.47</w:t>
            </w:r>
          </w:p>
        </w:tc>
      </w:tr>
      <w:tr>
        <w:tblPrEx>
          <w:tblCellMar>
            <w:top w:w="0" w:type="dxa"/>
            <w:left w:w="108" w:type="dxa"/>
            <w:bottom w:w="0" w:type="dxa"/>
            <w:right w:w="108" w:type="dxa"/>
          </w:tblCellMar>
        </w:tblPrEx>
        <w:trPr>
          <w:trHeight w:val="1268"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37</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养护八角金盘</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1.种类:八角金盘</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2.高度、冠幅：50-60</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3.养护期:12个月</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4.25株/平米，品字形密植</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m2</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929.67</w:t>
            </w:r>
          </w:p>
        </w:tc>
      </w:tr>
      <w:tr>
        <w:tblPrEx>
          <w:tblCellMar>
            <w:top w:w="0" w:type="dxa"/>
            <w:left w:w="108" w:type="dxa"/>
            <w:bottom w:w="0" w:type="dxa"/>
            <w:right w:w="108" w:type="dxa"/>
          </w:tblCellMar>
        </w:tblPrEx>
        <w:trPr>
          <w:trHeight w:val="1267"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38</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养护粉团蔷薇</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1.苗木、花卉种类:粉团蔷薇</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2.株高或蓬径:H120-150cm、P20-30cm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3.单位面积株数:盆栽苗,64株/㎡</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4.养护期:12个月</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m2</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8</w:t>
            </w:r>
          </w:p>
        </w:tc>
      </w:tr>
      <w:tr>
        <w:tblPrEx>
          <w:tblCellMar>
            <w:top w:w="0" w:type="dxa"/>
            <w:left w:w="108" w:type="dxa"/>
            <w:bottom w:w="0" w:type="dxa"/>
            <w:right w:w="108" w:type="dxa"/>
          </w:tblCellMar>
        </w:tblPrEx>
        <w:trPr>
          <w:trHeight w:val="1266"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39</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养护色带</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1.苗木、花卉种类:亮叶忍冬</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2.株高或蓬径:H25-30cm、P20-25cm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3.单位面积株数:盆栽苗,64株/㎡</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4.养护期:12个月</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m2</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81.47</w:t>
            </w:r>
          </w:p>
        </w:tc>
      </w:tr>
      <w:tr>
        <w:tblPrEx>
          <w:tblCellMar>
            <w:top w:w="0" w:type="dxa"/>
            <w:left w:w="108" w:type="dxa"/>
            <w:bottom w:w="0" w:type="dxa"/>
            <w:right w:w="108" w:type="dxa"/>
          </w:tblCellMar>
        </w:tblPrEx>
        <w:trPr>
          <w:trHeight w:val="986"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40</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养护缀花草坪</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1.草（灌木）籽种类:结缕草：蒲公英：紫花地丁:常夏石竹：黑麦草</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2.养护期:12个月</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m2</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9517.46</w:t>
            </w:r>
          </w:p>
        </w:tc>
      </w:tr>
      <w:tr>
        <w:tblPrEx>
          <w:tblCellMar>
            <w:top w:w="0" w:type="dxa"/>
            <w:left w:w="108" w:type="dxa"/>
            <w:bottom w:w="0" w:type="dxa"/>
            <w:right w:w="108" w:type="dxa"/>
          </w:tblCellMar>
        </w:tblPrEx>
        <w:trPr>
          <w:trHeight w:val="1261"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41</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养护色带</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1.苗木、花卉种类:无刺枸骨</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2.株高及蓬径：40-45、25-30cm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3.单位面积株数:36株/㎡</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4.养护期:12个月</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m2</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53.36</w:t>
            </w:r>
          </w:p>
        </w:tc>
      </w:tr>
      <w:tr>
        <w:tblPrEx>
          <w:tblCellMar>
            <w:top w:w="0" w:type="dxa"/>
            <w:left w:w="108" w:type="dxa"/>
            <w:bottom w:w="0" w:type="dxa"/>
            <w:right w:w="108" w:type="dxa"/>
          </w:tblCellMar>
        </w:tblPrEx>
        <w:trPr>
          <w:trHeight w:val="1266"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42</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养护火棘</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1.苗木、花卉种类:火棘</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3、株高及蓬径：40-45、30-35cm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3.单位面积株数:36株/平米，品字形密植</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4.养护期:12个月</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m2</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179.79</w:t>
            </w:r>
          </w:p>
        </w:tc>
      </w:tr>
      <w:tr>
        <w:tblPrEx>
          <w:tblCellMar>
            <w:top w:w="0" w:type="dxa"/>
            <w:left w:w="108" w:type="dxa"/>
            <w:bottom w:w="0" w:type="dxa"/>
            <w:right w:w="108" w:type="dxa"/>
          </w:tblCellMar>
        </w:tblPrEx>
        <w:trPr>
          <w:trHeight w:val="703"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43</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养护护坡草</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1.草（灌木）籽种类:狗牙根+黑麦草+白三叶</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2.养护期:12个月</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m2</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958.4</w:t>
            </w:r>
          </w:p>
        </w:tc>
      </w:tr>
      <w:tr>
        <w:tblPrEx>
          <w:tblCellMar>
            <w:top w:w="0" w:type="dxa"/>
            <w:left w:w="108" w:type="dxa"/>
            <w:bottom w:w="0" w:type="dxa"/>
            <w:right w:w="108" w:type="dxa"/>
          </w:tblCellMar>
        </w:tblPrEx>
        <w:trPr>
          <w:trHeight w:val="698"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44</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养护生态复绿组合</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1.草（灌木）籽种类:狗牙根+黑麦草+紫穗槐</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2.养护期:12个月</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m2</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4634.98</w:t>
            </w:r>
          </w:p>
        </w:tc>
      </w:tr>
      <w:tr>
        <w:tblPrEx>
          <w:tblCellMar>
            <w:top w:w="0" w:type="dxa"/>
            <w:left w:w="108" w:type="dxa"/>
            <w:bottom w:w="0" w:type="dxa"/>
            <w:right w:w="108" w:type="dxa"/>
          </w:tblCellMar>
        </w:tblPrEx>
        <w:trPr>
          <w:trHeight w:val="1275"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45</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养护大红叶石楠</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1.种类:大红叶石楠</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2.高度、冠幅：100，35</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3.养护期:12个月</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4.25株/平米，品字形密植</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m2</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94</w:t>
            </w:r>
          </w:p>
        </w:tc>
      </w:tr>
      <w:tr>
        <w:tblPrEx>
          <w:tblCellMar>
            <w:top w:w="0" w:type="dxa"/>
            <w:left w:w="108" w:type="dxa"/>
            <w:bottom w:w="0" w:type="dxa"/>
            <w:right w:w="108" w:type="dxa"/>
          </w:tblCellMar>
        </w:tblPrEx>
        <w:trPr>
          <w:trHeight w:val="1265"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46</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养护小法国冬青</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1.种类:小法国冬青</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2.高度、冠幅：60，25-30</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3.养护期:12个月</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4.25株/平米，品字形密植</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m2</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91.29</w:t>
            </w:r>
          </w:p>
        </w:tc>
      </w:tr>
      <w:tr>
        <w:tblPrEx>
          <w:tblCellMar>
            <w:top w:w="0" w:type="dxa"/>
            <w:left w:w="108" w:type="dxa"/>
            <w:bottom w:w="0" w:type="dxa"/>
            <w:right w:w="108" w:type="dxa"/>
          </w:tblCellMar>
        </w:tblPrEx>
        <w:trPr>
          <w:trHeight w:val="1241"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47</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养护大法国冬青</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1.种类:大法国冬青</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2.高度、冠幅：150，35</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3.养护期:12个月</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4.25株/平米，品字形密植</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m2</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18.33</w:t>
            </w:r>
          </w:p>
        </w:tc>
      </w:tr>
      <w:tr>
        <w:tblPrEx>
          <w:tblCellMar>
            <w:top w:w="0" w:type="dxa"/>
            <w:left w:w="108" w:type="dxa"/>
            <w:bottom w:w="0" w:type="dxa"/>
            <w:right w:w="108" w:type="dxa"/>
          </w:tblCellMar>
        </w:tblPrEx>
        <w:trPr>
          <w:trHeight w:val="1200"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48</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养护粉团蔷薇</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1.种类:粉团蔷薇</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2.高度、冠幅：120-150，20-30</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3.养护期:12个月</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4.6株/米</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株</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504</w:t>
            </w:r>
          </w:p>
        </w:tc>
      </w:tr>
      <w:tr>
        <w:tblPrEx>
          <w:tblCellMar>
            <w:top w:w="0" w:type="dxa"/>
            <w:left w:w="108" w:type="dxa"/>
            <w:bottom w:w="0" w:type="dxa"/>
            <w:right w:w="108" w:type="dxa"/>
          </w:tblCellMar>
        </w:tblPrEx>
        <w:trPr>
          <w:trHeight w:val="1277"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49</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养护色带</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1.苗木、花卉种类:葱兰</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2.株高或蓬径:</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3.单位面积株数:6-8株/丛，64丛/平米，品字形密植</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4.养护期:12个月</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m2</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30</w:t>
            </w:r>
          </w:p>
        </w:tc>
      </w:tr>
      <w:tr>
        <w:tblPrEx>
          <w:tblCellMar>
            <w:top w:w="0" w:type="dxa"/>
            <w:left w:w="108" w:type="dxa"/>
            <w:bottom w:w="0" w:type="dxa"/>
            <w:right w:w="108" w:type="dxa"/>
          </w:tblCellMar>
        </w:tblPrEx>
        <w:trPr>
          <w:trHeight w:val="285"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ascii="仿宋" w:hAnsi="仿宋" w:eastAsia="仿宋" w:cs="宋体"/>
                <w:color w:val="auto"/>
                <w:sz w:val="20"/>
                <w:szCs w:val="20"/>
              </w:rPr>
            </w:pP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b/>
                <w:bCs/>
                <w:color w:val="auto"/>
                <w:sz w:val="20"/>
                <w:szCs w:val="20"/>
              </w:rPr>
            </w:pPr>
            <w:r>
              <w:rPr>
                <w:rFonts w:hint="eastAsia" w:ascii="仿宋" w:hAnsi="仿宋" w:eastAsia="仿宋" w:cs="宋体"/>
                <w:b/>
                <w:bCs/>
                <w:color w:val="auto"/>
                <w:kern w:val="0"/>
                <w:sz w:val="20"/>
                <w:szCs w:val="20"/>
                <w:lang w:bidi="ar"/>
              </w:rPr>
              <w:t>游客中心</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ascii="仿宋" w:hAnsi="仿宋" w:eastAsia="仿宋" w:cs="宋体"/>
                <w:color w:val="auto"/>
                <w:sz w:val="20"/>
                <w:szCs w:val="20"/>
              </w:rPr>
            </w:pP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ascii="仿宋" w:hAnsi="仿宋" w:eastAsia="仿宋" w:cs="宋体"/>
                <w:color w:val="auto"/>
                <w:sz w:val="20"/>
                <w:szCs w:val="20"/>
              </w:rPr>
            </w:pP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ascii="仿宋" w:hAnsi="仿宋" w:eastAsia="仿宋" w:cs="宋体"/>
                <w:color w:val="auto"/>
                <w:sz w:val="20"/>
                <w:szCs w:val="20"/>
              </w:rPr>
            </w:pPr>
          </w:p>
        </w:tc>
      </w:tr>
      <w:tr>
        <w:tblPrEx>
          <w:tblCellMar>
            <w:top w:w="0" w:type="dxa"/>
            <w:left w:w="108" w:type="dxa"/>
            <w:bottom w:w="0" w:type="dxa"/>
            <w:right w:w="108" w:type="dxa"/>
          </w:tblCellMar>
        </w:tblPrEx>
        <w:trPr>
          <w:trHeight w:val="285"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ascii="仿宋" w:hAnsi="仿宋" w:eastAsia="仿宋" w:cs="宋体"/>
                <w:color w:val="auto"/>
                <w:sz w:val="20"/>
                <w:szCs w:val="20"/>
              </w:rPr>
            </w:pP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乔灌木</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ascii="仿宋" w:hAnsi="仿宋" w:eastAsia="仿宋" w:cs="宋体"/>
                <w:color w:val="auto"/>
                <w:sz w:val="20"/>
                <w:szCs w:val="20"/>
              </w:rPr>
            </w:pP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ascii="仿宋" w:hAnsi="仿宋" w:eastAsia="仿宋" w:cs="宋体"/>
                <w:color w:val="auto"/>
                <w:sz w:val="20"/>
                <w:szCs w:val="20"/>
              </w:rPr>
            </w:pP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ascii="仿宋" w:hAnsi="仿宋" w:eastAsia="仿宋" w:cs="宋体"/>
                <w:color w:val="auto"/>
                <w:sz w:val="20"/>
                <w:szCs w:val="20"/>
              </w:rPr>
            </w:pPr>
          </w:p>
        </w:tc>
      </w:tr>
      <w:tr>
        <w:tblPrEx>
          <w:tblCellMar>
            <w:top w:w="0" w:type="dxa"/>
            <w:left w:w="108" w:type="dxa"/>
            <w:bottom w:w="0" w:type="dxa"/>
            <w:right w:w="108" w:type="dxa"/>
          </w:tblCellMar>
        </w:tblPrEx>
        <w:trPr>
          <w:trHeight w:val="1624"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50</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养护香樟</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1.种类:香樟C</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2、胸径：16-17cm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3.株高、冠幅:550-600cm，350-400cm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4.养护期:12个月</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5、全冠（含草绳绕树及支撑等措施项目）</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株</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4</w:t>
            </w:r>
          </w:p>
        </w:tc>
      </w:tr>
      <w:tr>
        <w:tblPrEx>
          <w:tblCellMar>
            <w:top w:w="0" w:type="dxa"/>
            <w:left w:w="108" w:type="dxa"/>
            <w:bottom w:w="0" w:type="dxa"/>
            <w:right w:w="108" w:type="dxa"/>
          </w:tblCellMar>
        </w:tblPrEx>
        <w:trPr>
          <w:trHeight w:val="1920"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51</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养护红叶石楠树</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1.种类:红叶石楠树</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2、地径：8-10cm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2.冠丛高:250-300cm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3.蓬径:200-250cm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4.养护期:12个月</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5、全冠，株形饱满，姿态优美</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株</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20</w:t>
            </w:r>
          </w:p>
        </w:tc>
      </w:tr>
      <w:tr>
        <w:tblPrEx>
          <w:tblCellMar>
            <w:top w:w="0" w:type="dxa"/>
            <w:left w:w="108" w:type="dxa"/>
            <w:bottom w:w="0" w:type="dxa"/>
            <w:right w:w="108" w:type="dxa"/>
          </w:tblCellMar>
        </w:tblPrEx>
        <w:trPr>
          <w:trHeight w:val="1550"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52</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养护红枫C</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1.种类:红枫C</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2、地径：5cm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3.株高、冠幅:180-220cm，150-200cm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4.养护期:12个月</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5、全冠，株形饱满，姿态优美（含草绳绕树及支撑等措施项目）</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株</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37</w:t>
            </w:r>
          </w:p>
        </w:tc>
      </w:tr>
      <w:tr>
        <w:tblPrEx>
          <w:tblCellMar>
            <w:top w:w="0" w:type="dxa"/>
            <w:left w:w="108" w:type="dxa"/>
            <w:bottom w:w="0" w:type="dxa"/>
            <w:right w:w="108" w:type="dxa"/>
          </w:tblCellMar>
        </w:tblPrEx>
        <w:trPr>
          <w:trHeight w:val="1920"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53</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养护鸡爪槭</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1.种类:鸡爪槭</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2.地径：6-8cm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3.冠丛高:200-300cm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4.蓬径:180-200cm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5.养护期:12个月</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6.全冠，株形饱满，姿态优美</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株</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22</w:t>
            </w:r>
          </w:p>
        </w:tc>
      </w:tr>
      <w:tr>
        <w:tblPrEx>
          <w:tblCellMar>
            <w:top w:w="0" w:type="dxa"/>
            <w:left w:w="108" w:type="dxa"/>
            <w:bottom w:w="0" w:type="dxa"/>
            <w:right w:w="108" w:type="dxa"/>
          </w:tblCellMar>
        </w:tblPrEx>
        <w:trPr>
          <w:trHeight w:val="1547"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54</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养护红叶李B</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1.种类:红叶李B</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2、地径：10cm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3.株高、冠幅:300-350cm，200-250cm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4.养护期:12个月</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5、全冠，株形饱满，姿态优美</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株</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9</w:t>
            </w:r>
          </w:p>
        </w:tc>
      </w:tr>
      <w:tr>
        <w:tblPrEx>
          <w:tblCellMar>
            <w:top w:w="0" w:type="dxa"/>
            <w:left w:w="108" w:type="dxa"/>
            <w:bottom w:w="0" w:type="dxa"/>
            <w:right w:w="108" w:type="dxa"/>
          </w:tblCellMar>
        </w:tblPrEx>
        <w:trPr>
          <w:trHeight w:val="1920"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55</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养护红梅</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1.种类:红梅</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2.地径8-10cm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3.冠丛高:200-250cm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4.蓬径:220-250cm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5.养护期:12个月</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6.全冠，株形饱满，姿态优美</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株</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13</w:t>
            </w:r>
          </w:p>
        </w:tc>
      </w:tr>
      <w:tr>
        <w:tblPrEx>
          <w:tblCellMar>
            <w:top w:w="0" w:type="dxa"/>
            <w:left w:w="108" w:type="dxa"/>
            <w:bottom w:w="0" w:type="dxa"/>
            <w:right w:w="108" w:type="dxa"/>
          </w:tblCellMar>
        </w:tblPrEx>
        <w:trPr>
          <w:trHeight w:val="1440"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56</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养护山茶</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1.种类:山茶</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2.高:180-200cm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3.蓬径:120-150cm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4.养护期:12个月</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5、全冠，株形饱满，姿态优美</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株</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48</w:t>
            </w:r>
          </w:p>
        </w:tc>
      </w:tr>
      <w:tr>
        <w:tblPrEx>
          <w:tblCellMar>
            <w:top w:w="0" w:type="dxa"/>
            <w:left w:w="108" w:type="dxa"/>
            <w:bottom w:w="0" w:type="dxa"/>
            <w:right w:w="108" w:type="dxa"/>
          </w:tblCellMar>
        </w:tblPrEx>
        <w:trPr>
          <w:trHeight w:val="1293"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57</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养护茶梅球</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1.种类:茶梅球</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2.高度、冠幅：H80cm、P100cm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3.养护期:12个月</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4.篷形美丽不脱脚（成品球）</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株</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25</w:t>
            </w:r>
          </w:p>
        </w:tc>
      </w:tr>
      <w:tr>
        <w:tblPrEx>
          <w:tblCellMar>
            <w:top w:w="0" w:type="dxa"/>
            <w:left w:w="108" w:type="dxa"/>
            <w:bottom w:w="0" w:type="dxa"/>
            <w:right w:w="108" w:type="dxa"/>
          </w:tblCellMar>
        </w:tblPrEx>
        <w:trPr>
          <w:trHeight w:val="1680"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58</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养护色带</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1.苗木、花卉种类:毛竹</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2、地径3-4cm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2.株高：350-400cm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3.单位面积株数:10株/㎡</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4.养护期:12个月</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m2</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197.85</w:t>
            </w:r>
          </w:p>
        </w:tc>
      </w:tr>
      <w:tr>
        <w:tblPrEx>
          <w:tblCellMar>
            <w:top w:w="0" w:type="dxa"/>
            <w:left w:w="108" w:type="dxa"/>
            <w:bottom w:w="0" w:type="dxa"/>
            <w:right w:w="108" w:type="dxa"/>
          </w:tblCellMar>
        </w:tblPrEx>
        <w:trPr>
          <w:trHeight w:val="1200"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59</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养护八仙花</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1.种类:八仙花</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2.高度、冠幅：H60cm、P60cm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3.养护期:12个月</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4.盆栽苗</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株</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6</w:t>
            </w:r>
          </w:p>
        </w:tc>
      </w:tr>
      <w:tr>
        <w:tblPrEx>
          <w:tblCellMar>
            <w:top w:w="0" w:type="dxa"/>
            <w:left w:w="108" w:type="dxa"/>
            <w:bottom w:w="0" w:type="dxa"/>
            <w:right w:w="108" w:type="dxa"/>
          </w:tblCellMar>
        </w:tblPrEx>
        <w:trPr>
          <w:trHeight w:val="1200"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60</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养护结香</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1.种类:结香</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2.高度、冠幅：H100cm、P120cm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3.养护期:12个月</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4.造型优美</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株</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6</w:t>
            </w:r>
          </w:p>
        </w:tc>
      </w:tr>
      <w:tr>
        <w:tblPrEx>
          <w:tblCellMar>
            <w:top w:w="0" w:type="dxa"/>
            <w:left w:w="108" w:type="dxa"/>
            <w:bottom w:w="0" w:type="dxa"/>
            <w:right w:w="108" w:type="dxa"/>
          </w:tblCellMar>
        </w:tblPrEx>
        <w:trPr>
          <w:trHeight w:val="1440"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61</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养护红叶石楠球B</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1.种类:红叶石楠球B</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2.高度、冠幅：H150cm、P160cm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2.养护期:12个月</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3.3.篷形美丽不脱脚（成品球）</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株</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26</w:t>
            </w:r>
          </w:p>
        </w:tc>
      </w:tr>
      <w:tr>
        <w:tblPrEx>
          <w:tblCellMar>
            <w:top w:w="0" w:type="dxa"/>
            <w:left w:w="108" w:type="dxa"/>
            <w:bottom w:w="0" w:type="dxa"/>
            <w:right w:w="108" w:type="dxa"/>
          </w:tblCellMar>
        </w:tblPrEx>
        <w:trPr>
          <w:trHeight w:val="1200"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62</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养护竹类</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1.竹种类:南天竹</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2.株高、冠幅：H120、P100</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3.养护期:12个月</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4.造型优美</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株</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14</w:t>
            </w:r>
          </w:p>
        </w:tc>
      </w:tr>
      <w:tr>
        <w:tblPrEx>
          <w:tblCellMar>
            <w:top w:w="0" w:type="dxa"/>
            <w:left w:w="108" w:type="dxa"/>
            <w:bottom w:w="0" w:type="dxa"/>
            <w:right w:w="108" w:type="dxa"/>
          </w:tblCellMar>
        </w:tblPrEx>
        <w:trPr>
          <w:trHeight w:val="1569" w:hRule="exac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63</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养护乌桕（丛生）</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1.种类:乌桕（丛生）</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2.株高、冠幅:800-900，500-550</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3.养护期:12个月</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4、全冠，树形高挑。枝形自然开阔，姿态优美，3枝以上/丛，总公分数量不低于40cm</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株</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5</w:t>
            </w:r>
          </w:p>
        </w:tc>
      </w:tr>
      <w:tr>
        <w:tblPrEx>
          <w:tblCellMar>
            <w:top w:w="0" w:type="dxa"/>
            <w:left w:w="108" w:type="dxa"/>
            <w:bottom w:w="0" w:type="dxa"/>
            <w:right w:w="108" w:type="dxa"/>
          </w:tblCellMar>
        </w:tblPrEx>
        <w:trPr>
          <w:trHeight w:val="1529"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64</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养护乌桕</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1.种类:乌桕</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2、胸径：15cm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3.株高、冠幅:800-900cm，500-550cm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4.养护期:12个月</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5、全冠，枝形开展，姿态优美</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株</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1</w:t>
            </w:r>
          </w:p>
        </w:tc>
      </w:tr>
      <w:tr>
        <w:tblPrEx>
          <w:tblCellMar>
            <w:top w:w="0" w:type="dxa"/>
            <w:left w:w="108" w:type="dxa"/>
            <w:bottom w:w="0" w:type="dxa"/>
            <w:right w:w="108" w:type="dxa"/>
          </w:tblCellMar>
        </w:tblPrEx>
        <w:trPr>
          <w:trHeight w:val="1665"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65</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养护香樟A（多头）</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1.种类:香樟A（多头）</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2.株高、冠幅:1000-1100，500-600</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3.养护期:12个月</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4、全冠，树形饱满。枝形自然开阔，姿态优美，3枝以上/丛，总公分数量不低于55cm</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株</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5</w:t>
            </w:r>
          </w:p>
        </w:tc>
      </w:tr>
      <w:tr>
        <w:tblPrEx>
          <w:tblCellMar>
            <w:top w:w="0" w:type="dxa"/>
            <w:left w:w="108" w:type="dxa"/>
            <w:bottom w:w="0" w:type="dxa"/>
            <w:right w:w="108" w:type="dxa"/>
          </w:tblCellMar>
        </w:tblPrEx>
        <w:trPr>
          <w:trHeight w:val="1546"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66</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养护杨梅A</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1.种类:杨梅</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2.胸径或干径:D18cm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3.株高、冠幅:500-550，400-450</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4.养护期:12个月</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5、全冠，株形饱满，姿态优美</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株</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5</w:t>
            </w:r>
          </w:p>
        </w:tc>
      </w:tr>
      <w:tr>
        <w:tblPrEx>
          <w:tblCellMar>
            <w:top w:w="0" w:type="dxa"/>
            <w:left w:w="108" w:type="dxa"/>
            <w:bottom w:w="0" w:type="dxa"/>
            <w:right w:w="108" w:type="dxa"/>
          </w:tblCellMar>
        </w:tblPrEx>
        <w:trPr>
          <w:trHeight w:val="1540"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67</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养护丹桂A</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1.种类:丹桂A</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2.胸径或干径:18</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3.株高、冠幅:500-550，500-550</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4.养护期:12个月</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5、全冠，株形饱满，姿态优美</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株</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13</w:t>
            </w:r>
          </w:p>
        </w:tc>
      </w:tr>
      <w:tr>
        <w:tblPrEx>
          <w:tblCellMar>
            <w:top w:w="0" w:type="dxa"/>
            <w:left w:w="108" w:type="dxa"/>
            <w:bottom w:w="0" w:type="dxa"/>
            <w:right w:w="108" w:type="dxa"/>
          </w:tblCellMar>
        </w:tblPrEx>
        <w:trPr>
          <w:trHeight w:val="1575"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68</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养护丹桂B</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1.种类:丹桂B</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2.胸径或干径:15-16</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3.株高、冠幅:450-500，450-500</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4.养护期:12个月</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5、全冠，造型优美，树形饱满</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株</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35</w:t>
            </w:r>
          </w:p>
        </w:tc>
      </w:tr>
      <w:tr>
        <w:tblPrEx>
          <w:tblCellMar>
            <w:top w:w="0" w:type="dxa"/>
            <w:left w:w="108" w:type="dxa"/>
            <w:bottom w:w="0" w:type="dxa"/>
            <w:right w:w="108" w:type="dxa"/>
          </w:tblCellMar>
        </w:tblPrEx>
        <w:trPr>
          <w:trHeight w:val="1266"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69</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养护芭蕉</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1.种类:芭蕉</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2.株高、冠幅:300-350，250</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3.养护期:12个月</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4、全冠，株形饱满，姿态优美</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株</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21</w:t>
            </w:r>
          </w:p>
        </w:tc>
      </w:tr>
      <w:tr>
        <w:tblPrEx>
          <w:tblCellMar>
            <w:top w:w="0" w:type="dxa"/>
            <w:left w:w="108" w:type="dxa"/>
            <w:bottom w:w="0" w:type="dxa"/>
            <w:right w:w="108" w:type="dxa"/>
          </w:tblCellMar>
        </w:tblPrEx>
        <w:trPr>
          <w:trHeight w:val="1553"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70</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养护杨梅B</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1.种类:杨梅B</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2.地径:10</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3.株高、冠幅:300-350，250-300</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4.养护期:12个月</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5、全冠，树形饱满，姿态优美</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株</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19</w:t>
            </w:r>
          </w:p>
        </w:tc>
      </w:tr>
      <w:tr>
        <w:tblPrEx>
          <w:tblCellMar>
            <w:top w:w="0" w:type="dxa"/>
            <w:left w:w="108" w:type="dxa"/>
            <w:bottom w:w="0" w:type="dxa"/>
            <w:right w:w="108" w:type="dxa"/>
          </w:tblCellMar>
        </w:tblPrEx>
        <w:trPr>
          <w:trHeight w:val="1680"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71</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养护木槿</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1.种类:木槿</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2.地径：8cm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3.高度:250-280cm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4.冠幅:180-200cm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5.养护期:12个月</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6、全冠，株形饱满，姿态优美</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株</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15</w:t>
            </w:r>
          </w:p>
        </w:tc>
      </w:tr>
      <w:tr>
        <w:tblPrEx>
          <w:tblCellMar>
            <w:top w:w="0" w:type="dxa"/>
            <w:left w:w="108" w:type="dxa"/>
            <w:bottom w:w="0" w:type="dxa"/>
            <w:right w:w="108" w:type="dxa"/>
          </w:tblCellMar>
        </w:tblPrEx>
        <w:trPr>
          <w:trHeight w:val="1680"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72</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养护日本晚樱</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1.种类:日本晚樱</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2.地径：7-8cm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3.高度:250-300cm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4.冠幅:250-300cm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5.养护期:12个月</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6、全冠，株形饱满，姿态优美</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株</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34</w:t>
            </w:r>
          </w:p>
        </w:tc>
      </w:tr>
      <w:tr>
        <w:tblPrEx>
          <w:tblCellMar>
            <w:top w:w="0" w:type="dxa"/>
            <w:left w:w="108" w:type="dxa"/>
            <w:bottom w:w="0" w:type="dxa"/>
            <w:right w:w="108" w:type="dxa"/>
          </w:tblCellMar>
        </w:tblPrEx>
        <w:trPr>
          <w:trHeight w:val="1920"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73</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养护红叶碧桃</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1.种类:红叶碧桃</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2、地径：6-8cm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2.冠丛高:250-300cm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3.蓬径:150-200cm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4.养护期:12个月</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5、偏冠，株形飘逸自然，姿态优美</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株</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3</w:t>
            </w:r>
          </w:p>
        </w:tc>
      </w:tr>
      <w:tr>
        <w:tblPrEx>
          <w:tblCellMar>
            <w:top w:w="0" w:type="dxa"/>
            <w:left w:w="108" w:type="dxa"/>
            <w:bottom w:w="0" w:type="dxa"/>
            <w:right w:w="108" w:type="dxa"/>
          </w:tblCellMar>
        </w:tblPrEx>
        <w:trPr>
          <w:trHeight w:val="699"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74</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养护日本早樱</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1.种类:日本早樱</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2.地径：7-8cm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3.高度:250-300cm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4.冠幅:250-300cm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5.养护期:12个月</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6、全冠，株形饱满，姿态优美</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株</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4</w:t>
            </w:r>
          </w:p>
        </w:tc>
      </w:tr>
      <w:tr>
        <w:tblPrEx>
          <w:tblCellMar>
            <w:top w:w="0" w:type="dxa"/>
            <w:left w:w="108" w:type="dxa"/>
            <w:bottom w:w="0" w:type="dxa"/>
            <w:right w:w="108" w:type="dxa"/>
          </w:tblCellMar>
        </w:tblPrEx>
        <w:trPr>
          <w:trHeight w:val="1680"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75</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养护垂丝海棠</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1.种类:垂丝海棠</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2.地径:6-8cm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3.高度:250-300cm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4.冠幅:250-300cm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5.养护期:12个月</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6、全冠，株形饱满，姿态优美</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株</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27</w:t>
            </w:r>
          </w:p>
        </w:tc>
      </w:tr>
      <w:tr>
        <w:tblPrEx>
          <w:tblCellMar>
            <w:top w:w="0" w:type="dxa"/>
            <w:left w:w="108" w:type="dxa"/>
            <w:bottom w:w="0" w:type="dxa"/>
            <w:right w:w="108" w:type="dxa"/>
          </w:tblCellMar>
        </w:tblPrEx>
        <w:trPr>
          <w:trHeight w:val="1680"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76</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养护树状月季</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1.种类:树状月季</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2.胸径或干径:D5</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3.株高、冠幅:160-180，80-90</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4.养护期:12个月</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5、欧月，球形饱满，姿态优美</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株</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15</w:t>
            </w:r>
          </w:p>
        </w:tc>
      </w:tr>
      <w:tr>
        <w:tblPrEx>
          <w:tblCellMar>
            <w:top w:w="0" w:type="dxa"/>
            <w:left w:w="108" w:type="dxa"/>
            <w:bottom w:w="0" w:type="dxa"/>
            <w:right w:w="108" w:type="dxa"/>
          </w:tblCellMar>
        </w:tblPrEx>
        <w:trPr>
          <w:trHeight w:val="1200"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77</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养护喷雪花</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1.种类:喷雪花</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2.高度、冠幅：H100cm、P120cm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3.养护期:12个月</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4.造型优美</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株</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11</w:t>
            </w:r>
          </w:p>
        </w:tc>
      </w:tr>
      <w:tr>
        <w:tblPrEx>
          <w:tblCellMar>
            <w:top w:w="0" w:type="dxa"/>
            <w:left w:w="108" w:type="dxa"/>
            <w:bottom w:w="0" w:type="dxa"/>
            <w:right w:w="108" w:type="dxa"/>
          </w:tblCellMar>
        </w:tblPrEx>
        <w:trPr>
          <w:trHeight w:val="1293"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78</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养护红王子锦带花</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1.种类:红王子锦带花</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2.高度、冠幅：H50-60cm、P60-90cm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3.养护期:12个月</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4.盆栽苗，自然冠，株形饱满，姿态优美</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株</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6</w:t>
            </w:r>
          </w:p>
        </w:tc>
      </w:tr>
      <w:tr>
        <w:tblPrEx>
          <w:tblCellMar>
            <w:top w:w="0" w:type="dxa"/>
            <w:left w:w="108" w:type="dxa"/>
            <w:bottom w:w="0" w:type="dxa"/>
            <w:right w:w="108" w:type="dxa"/>
          </w:tblCellMar>
        </w:tblPrEx>
        <w:trPr>
          <w:trHeight w:val="1200"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79</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养护细叶芒</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1.种类:细叶芒</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2.高度、冠幅：80，60</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3.养护期:12个月</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4.〉25枝/丛</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株</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15</w:t>
            </w:r>
          </w:p>
        </w:tc>
      </w:tr>
      <w:tr>
        <w:tblPrEx>
          <w:tblCellMar>
            <w:top w:w="0" w:type="dxa"/>
            <w:left w:w="108" w:type="dxa"/>
            <w:bottom w:w="0" w:type="dxa"/>
            <w:right w:w="108" w:type="dxa"/>
          </w:tblCellMar>
        </w:tblPrEx>
        <w:trPr>
          <w:trHeight w:val="1266"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80</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养护映山红</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1.种类:映山红</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2.高度、冠幅：H60-80cm、P80-100cm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3.养护期:12个月</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4.盆栽苗，自然冠，株形饱满，姿态优美</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株</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13</w:t>
            </w:r>
          </w:p>
        </w:tc>
      </w:tr>
      <w:tr>
        <w:tblPrEx>
          <w:tblCellMar>
            <w:top w:w="0" w:type="dxa"/>
            <w:left w:w="108" w:type="dxa"/>
            <w:bottom w:w="0" w:type="dxa"/>
            <w:right w:w="108" w:type="dxa"/>
          </w:tblCellMar>
        </w:tblPrEx>
        <w:trPr>
          <w:trHeight w:val="1440"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81</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养护麻叶锈线菊</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1.种类:麻叶锈线菊</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2.株高、冠幅:160-180，100-120</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3.养护期:12个月</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4、自然冠，丛生，不得少于20枝条</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株</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7</w:t>
            </w:r>
          </w:p>
        </w:tc>
      </w:tr>
      <w:tr>
        <w:tblPrEx>
          <w:tblCellMar>
            <w:top w:w="0" w:type="dxa"/>
            <w:left w:w="108" w:type="dxa"/>
            <w:bottom w:w="0" w:type="dxa"/>
            <w:right w:w="108" w:type="dxa"/>
          </w:tblCellMar>
        </w:tblPrEx>
        <w:trPr>
          <w:trHeight w:val="1200"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82</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养护罗汉松桩景</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1.种类:罗汉松桩景</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2.高度、冠幅：H150cm、P150cm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3.养护期:12个月</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4.特选树，姿态优美</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株</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1</w:t>
            </w:r>
          </w:p>
        </w:tc>
      </w:tr>
      <w:tr>
        <w:tblPrEx>
          <w:tblCellMar>
            <w:top w:w="0" w:type="dxa"/>
            <w:left w:w="108" w:type="dxa"/>
            <w:bottom w:w="0" w:type="dxa"/>
            <w:right w:w="108" w:type="dxa"/>
          </w:tblCellMar>
        </w:tblPrEx>
        <w:trPr>
          <w:trHeight w:val="285"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ascii="仿宋" w:hAnsi="仿宋" w:eastAsia="仿宋" w:cs="宋体"/>
                <w:color w:val="auto"/>
                <w:sz w:val="20"/>
                <w:szCs w:val="20"/>
              </w:rPr>
            </w:pP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地被</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ascii="仿宋" w:hAnsi="仿宋" w:eastAsia="仿宋" w:cs="宋体"/>
                <w:color w:val="auto"/>
                <w:sz w:val="20"/>
                <w:szCs w:val="20"/>
              </w:rPr>
            </w:pP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ascii="仿宋" w:hAnsi="仿宋" w:eastAsia="仿宋" w:cs="宋体"/>
                <w:color w:val="auto"/>
                <w:sz w:val="20"/>
                <w:szCs w:val="20"/>
              </w:rPr>
            </w:pP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ascii="仿宋" w:hAnsi="仿宋" w:eastAsia="仿宋" w:cs="宋体"/>
                <w:color w:val="auto"/>
                <w:sz w:val="20"/>
                <w:szCs w:val="20"/>
              </w:rPr>
            </w:pPr>
          </w:p>
        </w:tc>
      </w:tr>
      <w:tr>
        <w:tblPrEx>
          <w:tblCellMar>
            <w:top w:w="0" w:type="dxa"/>
            <w:left w:w="108" w:type="dxa"/>
            <w:bottom w:w="0" w:type="dxa"/>
            <w:right w:w="108" w:type="dxa"/>
          </w:tblCellMar>
        </w:tblPrEx>
        <w:trPr>
          <w:trHeight w:val="1214"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83</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养护色带</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1.苗木、花卉种类:红叶石楠</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2.株高或蓬径:H40-45cm、P30-35cm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3.单位面积株数:49株/㎡(毛球）</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4.养护期:12个月</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m2</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1756.21</w:t>
            </w:r>
          </w:p>
        </w:tc>
      </w:tr>
      <w:tr>
        <w:tblPrEx>
          <w:tblCellMar>
            <w:top w:w="0" w:type="dxa"/>
            <w:left w:w="108" w:type="dxa"/>
            <w:bottom w:w="0" w:type="dxa"/>
            <w:right w:w="108" w:type="dxa"/>
          </w:tblCellMar>
        </w:tblPrEx>
        <w:trPr>
          <w:trHeight w:val="1270"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84</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养护色带</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1.苗木、花卉种类:南天竹</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2.株高或蓬径:50-60cm、25-30cm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3.单位面积株数:48株/㎡</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4.养护期:12个月</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m2</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128.53</w:t>
            </w:r>
          </w:p>
        </w:tc>
      </w:tr>
      <w:tr>
        <w:tblPrEx>
          <w:tblCellMar>
            <w:top w:w="0" w:type="dxa"/>
            <w:left w:w="108" w:type="dxa"/>
            <w:bottom w:w="0" w:type="dxa"/>
            <w:right w:w="108" w:type="dxa"/>
          </w:tblCellMar>
        </w:tblPrEx>
        <w:trPr>
          <w:trHeight w:val="1287"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85</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养护色带</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1.苗木、花卉种类:金森女贞</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2.株高或蓬径:H30-35cm、P30-35cm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3.单位面积株数:49株/㎡(毛球）</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4.养护期:12个月</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m2</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472.92</w:t>
            </w:r>
          </w:p>
        </w:tc>
      </w:tr>
      <w:tr>
        <w:tblPrEx>
          <w:tblCellMar>
            <w:top w:w="0" w:type="dxa"/>
            <w:left w:w="108" w:type="dxa"/>
            <w:bottom w:w="0" w:type="dxa"/>
            <w:right w:w="108" w:type="dxa"/>
          </w:tblCellMar>
        </w:tblPrEx>
        <w:trPr>
          <w:trHeight w:val="1264"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86</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养护色带</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1.苗木、花卉种类:茶梅</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2.株高或蓬径:H30-40cm、P30cm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3.单位面积株数:营养钵,36丛/㎡</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4.养护期:12个月</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m2</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392.19</w:t>
            </w:r>
          </w:p>
        </w:tc>
      </w:tr>
      <w:tr>
        <w:tblPrEx>
          <w:tblCellMar>
            <w:top w:w="0" w:type="dxa"/>
            <w:left w:w="108" w:type="dxa"/>
            <w:bottom w:w="0" w:type="dxa"/>
            <w:right w:w="108" w:type="dxa"/>
          </w:tblCellMar>
        </w:tblPrEx>
        <w:trPr>
          <w:trHeight w:val="1253"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87</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养护色带</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1.苗木、花卉种类:大叶黄杨</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2.株高或蓬径:40-45cm、20-25cm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3.单位面积株数:48株/㎡</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4.养护期:12个月</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m2</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283.13</w:t>
            </w:r>
          </w:p>
        </w:tc>
      </w:tr>
      <w:tr>
        <w:tblPrEx>
          <w:tblCellMar>
            <w:top w:w="0" w:type="dxa"/>
            <w:left w:w="108" w:type="dxa"/>
            <w:bottom w:w="0" w:type="dxa"/>
            <w:right w:w="108" w:type="dxa"/>
          </w:tblCellMar>
        </w:tblPrEx>
        <w:trPr>
          <w:trHeight w:val="720"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88</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养护草皮</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1.草皮种类：麦冬</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2.麦冬高度：10cm</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3.养护期:12个月</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m2</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269</w:t>
            </w:r>
          </w:p>
        </w:tc>
      </w:tr>
      <w:tr>
        <w:tblPrEx>
          <w:tblCellMar>
            <w:top w:w="0" w:type="dxa"/>
            <w:left w:w="108" w:type="dxa"/>
            <w:bottom w:w="0" w:type="dxa"/>
            <w:right w:w="108" w:type="dxa"/>
          </w:tblCellMar>
        </w:tblPrEx>
        <w:trPr>
          <w:trHeight w:val="1327"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89</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养护色带</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1.苗木、花卉种类:黄金络石</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2.株高或蓬径:H30-40cm、P30cm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3.单位面积株数:营养钵,36丛/㎡</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4.养护期:12个月</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m2</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48.66</w:t>
            </w:r>
          </w:p>
        </w:tc>
      </w:tr>
      <w:tr>
        <w:tblPrEx>
          <w:tblCellMar>
            <w:top w:w="0" w:type="dxa"/>
            <w:left w:w="108" w:type="dxa"/>
            <w:bottom w:w="0" w:type="dxa"/>
            <w:right w:w="108" w:type="dxa"/>
          </w:tblCellMar>
        </w:tblPrEx>
        <w:trPr>
          <w:trHeight w:val="1247"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90</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养护色带</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1.苗木、花卉种类:红花继木</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2.株高或蓬径:40-45cm、20-25cm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3.单位面积株数:48株/㎡</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4.养护期:12个月</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m2</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29.63</w:t>
            </w:r>
          </w:p>
        </w:tc>
      </w:tr>
      <w:tr>
        <w:tblPrEx>
          <w:tblCellMar>
            <w:top w:w="0" w:type="dxa"/>
            <w:left w:w="108" w:type="dxa"/>
            <w:bottom w:w="0" w:type="dxa"/>
            <w:right w:w="108" w:type="dxa"/>
          </w:tblCellMar>
        </w:tblPrEx>
        <w:trPr>
          <w:trHeight w:val="1258"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91</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养护色带</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1.苗木、花卉种类:枸骨</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3、株高及蓬径：35-40、25-30cm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3.单位面积株数:36株/㎡</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4.养护期:12个月</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m2</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4</w:t>
            </w:r>
          </w:p>
        </w:tc>
      </w:tr>
      <w:tr>
        <w:tblPrEx>
          <w:tblCellMar>
            <w:top w:w="0" w:type="dxa"/>
            <w:left w:w="108" w:type="dxa"/>
            <w:bottom w:w="0" w:type="dxa"/>
            <w:right w:w="108" w:type="dxa"/>
          </w:tblCellMar>
        </w:tblPrEx>
        <w:trPr>
          <w:trHeight w:val="1276"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92</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养护色带</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1.苗木、花卉种类:云南黄馨</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2.株高或蓬径:40-45cm、25-30cm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3.单位面积株数:48株/㎡</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4.养护期:12个月</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m2</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101.46</w:t>
            </w:r>
          </w:p>
        </w:tc>
      </w:tr>
      <w:tr>
        <w:tblPrEx>
          <w:tblCellMar>
            <w:top w:w="0" w:type="dxa"/>
            <w:left w:w="108" w:type="dxa"/>
            <w:bottom w:w="0" w:type="dxa"/>
            <w:right w:w="108" w:type="dxa"/>
          </w:tblCellMar>
        </w:tblPrEx>
        <w:trPr>
          <w:trHeight w:val="1265"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93</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养护色带</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1.苗木、花卉种类:德国鸢尾</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2.株高、冠幅:35-40cm、25-30cm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3.单位面积株数:48株/㎡</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4.养护期:12个月</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m2</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978.33</w:t>
            </w:r>
          </w:p>
        </w:tc>
      </w:tr>
      <w:tr>
        <w:tblPrEx>
          <w:tblCellMar>
            <w:top w:w="0" w:type="dxa"/>
            <w:left w:w="108" w:type="dxa"/>
            <w:bottom w:w="0" w:type="dxa"/>
            <w:right w:w="108" w:type="dxa"/>
          </w:tblCellMar>
        </w:tblPrEx>
        <w:trPr>
          <w:trHeight w:val="971"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94</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养护攀缘植物</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1.植物种类:常青油麻藤</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2.高度及蓬径:80-100cm、30-40cm</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3.养护期:12个月</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株</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2154</w:t>
            </w:r>
          </w:p>
        </w:tc>
      </w:tr>
      <w:tr>
        <w:tblPrEx>
          <w:tblCellMar>
            <w:top w:w="0" w:type="dxa"/>
            <w:left w:w="108" w:type="dxa"/>
            <w:bottom w:w="0" w:type="dxa"/>
            <w:right w:w="108" w:type="dxa"/>
          </w:tblCellMar>
        </w:tblPrEx>
        <w:trPr>
          <w:trHeight w:val="1313" w:hRule="exac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95</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养护金叶石菖蒲</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1.种类:金叶石菖蒲</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2.高度、冠幅：15-20，15-20</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3.养护期:12个月</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4.64丛/平方，6枝/丛</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m2</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142.13</w:t>
            </w:r>
          </w:p>
        </w:tc>
      </w:tr>
      <w:tr>
        <w:tblPrEx>
          <w:tblCellMar>
            <w:top w:w="0" w:type="dxa"/>
            <w:left w:w="108" w:type="dxa"/>
            <w:bottom w:w="0" w:type="dxa"/>
            <w:right w:w="108" w:type="dxa"/>
          </w:tblCellMar>
        </w:tblPrEx>
        <w:trPr>
          <w:trHeight w:val="1361" w:hRule="exac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96</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养护夏鹃</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1.种类:夏鹃</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2.高度、冠幅：25-30，20-25</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3.养护期:12个月</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4.49株/平米，品字形密植</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m2</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184.15</w:t>
            </w:r>
          </w:p>
        </w:tc>
      </w:tr>
      <w:tr>
        <w:tblPrEx>
          <w:tblCellMar>
            <w:top w:w="0" w:type="dxa"/>
            <w:left w:w="108" w:type="dxa"/>
            <w:bottom w:w="0" w:type="dxa"/>
            <w:right w:w="108" w:type="dxa"/>
          </w:tblCellMar>
        </w:tblPrEx>
        <w:trPr>
          <w:trHeight w:val="1286" w:hRule="exac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97</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养护粉花绣线菊</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1.种类:粉花绣线菊</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2.高度、冠幅：35-40，25-30</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3.养护期:12个月</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4.49株/平米，品字形密植</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m2</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177.62</w:t>
            </w:r>
          </w:p>
        </w:tc>
      </w:tr>
      <w:tr>
        <w:tblPrEx>
          <w:tblCellMar>
            <w:top w:w="0" w:type="dxa"/>
            <w:left w:w="108" w:type="dxa"/>
            <w:bottom w:w="0" w:type="dxa"/>
            <w:right w:w="108" w:type="dxa"/>
          </w:tblCellMar>
        </w:tblPrEx>
        <w:trPr>
          <w:trHeight w:val="1276" w:hRule="exac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98</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养护八仙花</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1.苗木、花卉种类:八仙花</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2.株高或蓬径:30-35cm、25-30cm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3.单位面积株数:49株/平米，品字形密植</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4.养护期:12个月</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m2</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171.82</w:t>
            </w:r>
          </w:p>
        </w:tc>
      </w:tr>
      <w:tr>
        <w:tblPrEx>
          <w:tblCellMar>
            <w:top w:w="0" w:type="dxa"/>
            <w:left w:w="108" w:type="dxa"/>
            <w:bottom w:w="0" w:type="dxa"/>
            <w:right w:w="108" w:type="dxa"/>
          </w:tblCellMar>
        </w:tblPrEx>
        <w:trPr>
          <w:trHeight w:val="1279" w:hRule="exac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99</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养护色带</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1.苗木、花卉种类:金边大花六道木</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2.株高或蓬径:40-45cm、25-30cm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3.单位面积株数:49株/㎡</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4.养护期:12个月</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m2</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133.31</w:t>
            </w:r>
          </w:p>
        </w:tc>
      </w:tr>
      <w:tr>
        <w:tblPrEx>
          <w:tblCellMar>
            <w:top w:w="0" w:type="dxa"/>
            <w:left w:w="108" w:type="dxa"/>
            <w:bottom w:w="0" w:type="dxa"/>
            <w:right w:w="108" w:type="dxa"/>
          </w:tblCellMar>
        </w:tblPrEx>
        <w:trPr>
          <w:trHeight w:val="1284" w:hRule="exac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100</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养护八角金盘</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1.种类:八角金盘</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2.高度、冠幅：50-60</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3.养护期:12个月</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4.25株/平米，品字形密植</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m2</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160</w:t>
            </w:r>
          </w:p>
        </w:tc>
      </w:tr>
      <w:tr>
        <w:tblPrEx>
          <w:tblCellMar>
            <w:top w:w="0" w:type="dxa"/>
            <w:left w:w="108" w:type="dxa"/>
            <w:bottom w:w="0" w:type="dxa"/>
            <w:right w:w="108" w:type="dxa"/>
          </w:tblCellMar>
        </w:tblPrEx>
        <w:trPr>
          <w:trHeight w:val="1259" w:hRule="exac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101</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养护大叶栀子</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1.种类:大叶栀子</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2.高度、冠幅：30-35，25-30</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3.养护期:12个月</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4.49株/平米，品字形密植</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m2</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34.69</w:t>
            </w:r>
          </w:p>
        </w:tc>
      </w:tr>
      <w:tr>
        <w:tblPrEx>
          <w:tblCellMar>
            <w:top w:w="0" w:type="dxa"/>
            <w:left w:w="108" w:type="dxa"/>
            <w:bottom w:w="0" w:type="dxa"/>
            <w:right w:w="108" w:type="dxa"/>
          </w:tblCellMar>
        </w:tblPrEx>
        <w:trPr>
          <w:trHeight w:val="1291" w:hRule="exac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102</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养护色带</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1.苗木、花卉种类:水果兰</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2.株高或蓬径:H40-50cm、P30-35cm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3.单位面积株数:36株/㎡</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4.养护期:12个月</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m2</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43.53</w:t>
            </w:r>
          </w:p>
        </w:tc>
      </w:tr>
      <w:tr>
        <w:tblPrEx>
          <w:tblCellMar>
            <w:top w:w="0" w:type="dxa"/>
            <w:left w:w="108" w:type="dxa"/>
            <w:bottom w:w="0" w:type="dxa"/>
            <w:right w:w="108" w:type="dxa"/>
          </w:tblCellMar>
        </w:tblPrEx>
        <w:trPr>
          <w:trHeight w:val="1267" w:hRule="exac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103</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养护色带</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1.苗木、花卉种类:亮叶忍冬</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2.株高或蓬径:H25-30cm、P20-25cm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3.单位面积株数:盆栽苗,64株/㎡</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4.养护期:12个月</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m2</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162.86</w:t>
            </w:r>
          </w:p>
        </w:tc>
      </w:tr>
      <w:tr>
        <w:tblPrEx>
          <w:tblCellMar>
            <w:top w:w="0" w:type="dxa"/>
            <w:left w:w="108" w:type="dxa"/>
            <w:bottom w:w="0" w:type="dxa"/>
            <w:right w:w="108" w:type="dxa"/>
          </w:tblCellMar>
        </w:tblPrEx>
        <w:trPr>
          <w:trHeight w:val="1272" w:hRule="exac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104</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养护火棘</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1.苗木、花卉种类:火棘</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3、株高及蓬径：40-50、30-35cm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3.单位面积株数:36株/平米，品字形密植</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4.养护期:12个月</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m2</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169.26</w:t>
            </w:r>
          </w:p>
        </w:tc>
      </w:tr>
      <w:tr>
        <w:tblPrEx>
          <w:tblCellMar>
            <w:top w:w="0" w:type="dxa"/>
            <w:left w:w="108" w:type="dxa"/>
            <w:bottom w:w="0" w:type="dxa"/>
            <w:right w:w="108" w:type="dxa"/>
          </w:tblCellMar>
        </w:tblPrEx>
        <w:trPr>
          <w:trHeight w:val="1275" w:hRule="exac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105</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养护色带</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1.苗木、花卉种类:细叶萼距花</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2.株高或蓬径:</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3.单位面积株数:81株/㎡</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4.养护期:12个月</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m2</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17.97</w:t>
            </w:r>
          </w:p>
        </w:tc>
      </w:tr>
      <w:tr>
        <w:tblPrEx>
          <w:tblCellMar>
            <w:top w:w="0" w:type="dxa"/>
            <w:left w:w="108" w:type="dxa"/>
            <w:bottom w:w="0" w:type="dxa"/>
            <w:right w:w="108" w:type="dxa"/>
          </w:tblCellMar>
        </w:tblPrEx>
        <w:trPr>
          <w:trHeight w:val="1361" w:hRule="exac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106</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养护红王子锦带</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1.苗木、花卉种类:红王子锦带</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3、株高及蓬径：50-55、25-30cm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3.单位面积株数:36株/平米，品字形密植</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4.养护期:12个月</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m2</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41.99</w:t>
            </w:r>
          </w:p>
        </w:tc>
      </w:tr>
      <w:tr>
        <w:tblPrEx>
          <w:tblCellMar>
            <w:top w:w="0" w:type="dxa"/>
            <w:left w:w="108" w:type="dxa"/>
            <w:bottom w:w="0" w:type="dxa"/>
            <w:right w:w="108" w:type="dxa"/>
          </w:tblCellMar>
        </w:tblPrEx>
        <w:trPr>
          <w:trHeight w:val="1286" w:hRule="exac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107</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养护大法国冬青</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1.种类:大法国冬青</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2.高度、冠幅：150，35</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3.养护期:12个月</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4.25株/平米，品字形密植</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m2</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144</w:t>
            </w:r>
          </w:p>
        </w:tc>
      </w:tr>
      <w:tr>
        <w:tblPrEx>
          <w:tblCellMar>
            <w:top w:w="0" w:type="dxa"/>
            <w:left w:w="108" w:type="dxa"/>
            <w:bottom w:w="0" w:type="dxa"/>
            <w:right w:w="108" w:type="dxa"/>
          </w:tblCellMar>
        </w:tblPrEx>
        <w:trPr>
          <w:trHeight w:val="1276" w:hRule="exac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108</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养护大花萱草</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1.苗木、花卉种类:大花萱草</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3、株高及蓬径：20-25、20-25cm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3.单位面积株数:36株/平米，品字形密植</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4.养护期:12个月</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m2</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16.04</w:t>
            </w:r>
          </w:p>
        </w:tc>
      </w:tr>
      <w:tr>
        <w:tblPrEx>
          <w:tblCellMar>
            <w:top w:w="0" w:type="dxa"/>
            <w:left w:w="108" w:type="dxa"/>
            <w:bottom w:w="0" w:type="dxa"/>
            <w:right w:w="108" w:type="dxa"/>
          </w:tblCellMar>
        </w:tblPrEx>
        <w:trPr>
          <w:trHeight w:val="1266"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109</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养护色带</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1.苗木、花卉种类:凌霄</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2.株高或蓬径:80-100cm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3.单位面积株数:6株/m</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4.养护期:12个月</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株</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462</w:t>
            </w:r>
          </w:p>
        </w:tc>
      </w:tr>
      <w:tr>
        <w:tblPrEx>
          <w:tblCellMar>
            <w:top w:w="0" w:type="dxa"/>
            <w:left w:w="108" w:type="dxa"/>
            <w:bottom w:w="0" w:type="dxa"/>
            <w:right w:w="108" w:type="dxa"/>
          </w:tblCellMar>
        </w:tblPrEx>
        <w:trPr>
          <w:trHeight w:val="1270"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110</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养护色带</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1.苗木、花卉种类:云南黄馨</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2.株高或蓬径:120-150cm，20-30cm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3.单位面积株数:6株/m</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4.养护期:12个月</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株</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210</w:t>
            </w:r>
          </w:p>
        </w:tc>
      </w:tr>
      <w:tr>
        <w:tblPrEx>
          <w:tblCellMar>
            <w:top w:w="0" w:type="dxa"/>
            <w:left w:w="108" w:type="dxa"/>
            <w:bottom w:w="0" w:type="dxa"/>
            <w:right w:w="108" w:type="dxa"/>
          </w:tblCellMar>
        </w:tblPrEx>
        <w:trPr>
          <w:trHeight w:val="1273"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111</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养护色带</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1.苗木、花卉种类:常青藤</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2.株高或蓬径:80-100cm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3.单位面积株数:6株/m</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4.养护期:12个月</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株</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1602</w:t>
            </w:r>
          </w:p>
        </w:tc>
      </w:tr>
      <w:tr>
        <w:tblPrEx>
          <w:tblCellMar>
            <w:top w:w="0" w:type="dxa"/>
            <w:left w:w="108" w:type="dxa"/>
            <w:bottom w:w="0" w:type="dxa"/>
            <w:right w:w="108" w:type="dxa"/>
          </w:tblCellMar>
        </w:tblPrEx>
        <w:trPr>
          <w:trHeight w:val="632"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112</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养护缀花草坪</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1.草（灌木）籽种类:结缕草：蒲公英：紫花地丁:常夏石竹</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2.养护期:12个月</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m2</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7272.21</w:t>
            </w:r>
          </w:p>
        </w:tc>
      </w:tr>
      <w:tr>
        <w:tblPrEx>
          <w:tblCellMar>
            <w:top w:w="0" w:type="dxa"/>
            <w:left w:w="108" w:type="dxa"/>
            <w:bottom w:w="0" w:type="dxa"/>
            <w:right w:w="108" w:type="dxa"/>
          </w:tblCellMar>
        </w:tblPrEx>
        <w:trPr>
          <w:trHeight w:val="701"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113</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养护护坡草</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1.草（灌木）籽种类:狗牙根+黑麦草+白三叶</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2.养护期:12个月</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m2</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1792.14</w:t>
            </w:r>
          </w:p>
        </w:tc>
      </w:tr>
      <w:tr>
        <w:tblPrEx>
          <w:tblCellMar>
            <w:top w:w="0" w:type="dxa"/>
            <w:left w:w="108" w:type="dxa"/>
            <w:bottom w:w="0" w:type="dxa"/>
            <w:right w:w="108" w:type="dxa"/>
          </w:tblCellMar>
        </w:tblPrEx>
        <w:trPr>
          <w:trHeight w:val="696"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114</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养护护坡草</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1.草（灌木）籽种类: 黑麦草</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2.养护期:12个月</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m2</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132</w:t>
            </w:r>
          </w:p>
        </w:tc>
      </w:tr>
      <w:tr>
        <w:tblPrEx>
          <w:tblCellMar>
            <w:top w:w="0" w:type="dxa"/>
            <w:left w:w="108" w:type="dxa"/>
            <w:bottom w:w="0" w:type="dxa"/>
            <w:right w:w="108" w:type="dxa"/>
          </w:tblCellMar>
        </w:tblPrEx>
        <w:trPr>
          <w:trHeight w:val="1032"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115</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养护草皮</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1.草皮种类:常绿草坪</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2.养护期:12个月</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3.马尼拉混播黑麦草，满铺</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m2</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114.72</w:t>
            </w:r>
          </w:p>
        </w:tc>
      </w:tr>
      <w:tr>
        <w:tblPrEx>
          <w:tblCellMar>
            <w:top w:w="0" w:type="dxa"/>
            <w:left w:w="108" w:type="dxa"/>
            <w:bottom w:w="0" w:type="dxa"/>
            <w:right w:w="108" w:type="dxa"/>
          </w:tblCellMar>
        </w:tblPrEx>
        <w:trPr>
          <w:trHeight w:val="480"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ascii="仿宋" w:hAnsi="仿宋" w:eastAsia="仿宋" w:cs="宋体"/>
                <w:color w:val="auto"/>
                <w:sz w:val="20"/>
                <w:szCs w:val="20"/>
              </w:rPr>
            </w:pP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b/>
                <w:bCs/>
                <w:color w:val="auto"/>
                <w:sz w:val="20"/>
                <w:szCs w:val="20"/>
              </w:rPr>
            </w:pPr>
            <w:r>
              <w:rPr>
                <w:rFonts w:hint="eastAsia" w:ascii="仿宋" w:hAnsi="仿宋" w:eastAsia="仿宋" w:cs="宋体"/>
                <w:b/>
                <w:bCs/>
                <w:color w:val="auto"/>
                <w:kern w:val="0"/>
                <w:sz w:val="20"/>
                <w:szCs w:val="20"/>
                <w:lang w:bidi="ar"/>
              </w:rPr>
              <w:t>中段轻轨高架桥</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ascii="仿宋" w:hAnsi="仿宋" w:eastAsia="仿宋" w:cs="宋体"/>
                <w:color w:val="auto"/>
                <w:sz w:val="20"/>
                <w:szCs w:val="20"/>
              </w:rPr>
            </w:pP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ascii="仿宋" w:hAnsi="仿宋" w:eastAsia="仿宋" w:cs="宋体"/>
                <w:color w:val="auto"/>
                <w:sz w:val="20"/>
                <w:szCs w:val="20"/>
              </w:rPr>
            </w:pP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ascii="仿宋" w:hAnsi="仿宋" w:eastAsia="仿宋" w:cs="宋体"/>
                <w:color w:val="auto"/>
                <w:sz w:val="20"/>
                <w:szCs w:val="20"/>
              </w:rPr>
            </w:pPr>
          </w:p>
        </w:tc>
      </w:tr>
      <w:tr>
        <w:tblPrEx>
          <w:tblCellMar>
            <w:top w:w="0" w:type="dxa"/>
            <w:left w:w="108" w:type="dxa"/>
            <w:bottom w:w="0" w:type="dxa"/>
            <w:right w:w="108" w:type="dxa"/>
          </w:tblCellMar>
        </w:tblPrEx>
        <w:trPr>
          <w:trHeight w:val="285"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ascii="仿宋" w:hAnsi="仿宋" w:eastAsia="仿宋" w:cs="宋体"/>
                <w:color w:val="auto"/>
                <w:sz w:val="20"/>
                <w:szCs w:val="20"/>
              </w:rPr>
            </w:pP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乔灌木</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ascii="仿宋" w:hAnsi="仿宋" w:eastAsia="仿宋" w:cs="宋体"/>
                <w:color w:val="auto"/>
                <w:sz w:val="20"/>
                <w:szCs w:val="20"/>
              </w:rPr>
            </w:pP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ascii="仿宋" w:hAnsi="仿宋" w:eastAsia="仿宋" w:cs="宋体"/>
                <w:color w:val="auto"/>
                <w:sz w:val="20"/>
                <w:szCs w:val="20"/>
              </w:rPr>
            </w:pP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ascii="仿宋" w:hAnsi="仿宋" w:eastAsia="仿宋" w:cs="宋体"/>
                <w:color w:val="auto"/>
                <w:sz w:val="20"/>
                <w:szCs w:val="20"/>
              </w:rPr>
            </w:pPr>
          </w:p>
        </w:tc>
      </w:tr>
      <w:tr>
        <w:tblPrEx>
          <w:tblCellMar>
            <w:top w:w="0" w:type="dxa"/>
            <w:left w:w="108" w:type="dxa"/>
            <w:bottom w:w="0" w:type="dxa"/>
            <w:right w:w="108" w:type="dxa"/>
          </w:tblCellMar>
        </w:tblPrEx>
        <w:trPr>
          <w:trHeight w:val="1665"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116</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养护香樟</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1.种类:香樟C</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2、胸径：16-17cm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3.株高、冠幅:550-600cm，350-400cm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4.养护期:12个月</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5、全冠,树冠丰满（含草绳绕树及支撑等措施项目）</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株</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8</w:t>
            </w:r>
          </w:p>
        </w:tc>
      </w:tr>
      <w:tr>
        <w:tblPrEx>
          <w:tblCellMar>
            <w:top w:w="0" w:type="dxa"/>
            <w:left w:w="108" w:type="dxa"/>
            <w:bottom w:w="0" w:type="dxa"/>
            <w:right w:w="108" w:type="dxa"/>
          </w:tblCellMar>
        </w:tblPrEx>
        <w:trPr>
          <w:trHeight w:val="1920"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117</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养护红叶石楠树</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1.种类:红叶石楠树</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2、地径：8-10cm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2.冠丛高:250-300cm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3.蓬径:200-250cm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4.养护期:12个月</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5、全冠，株形饱满，姿态优美</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株</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11</w:t>
            </w:r>
          </w:p>
        </w:tc>
      </w:tr>
      <w:tr>
        <w:tblPrEx>
          <w:tblCellMar>
            <w:top w:w="0" w:type="dxa"/>
            <w:left w:w="108" w:type="dxa"/>
            <w:bottom w:w="0" w:type="dxa"/>
            <w:right w:w="108" w:type="dxa"/>
          </w:tblCellMar>
        </w:tblPrEx>
        <w:trPr>
          <w:trHeight w:val="1920"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118</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养护红梅</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1.种类:红梅</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2.地径8-10cm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2.冠丛高:200-250cm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3.蓬径:220-250cm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4.养护期:12个月</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5、全冠，株形饱满，姿态优美</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株</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6</w:t>
            </w:r>
          </w:p>
        </w:tc>
      </w:tr>
      <w:tr>
        <w:tblPrEx>
          <w:tblCellMar>
            <w:top w:w="0" w:type="dxa"/>
            <w:left w:w="108" w:type="dxa"/>
            <w:bottom w:w="0" w:type="dxa"/>
            <w:right w:w="108" w:type="dxa"/>
          </w:tblCellMar>
        </w:tblPrEx>
        <w:trPr>
          <w:trHeight w:val="1680"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119</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养护丛生腊梅</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1.种类:腊梅</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2.冠丛高:250-300cm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3.蓬径:250-300cm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4.养护期:12个月</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5、全冠，株形饱满，姿态优美</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株</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4</w:t>
            </w:r>
          </w:p>
        </w:tc>
      </w:tr>
      <w:tr>
        <w:tblPrEx>
          <w:tblCellMar>
            <w:top w:w="0" w:type="dxa"/>
            <w:left w:w="108" w:type="dxa"/>
            <w:bottom w:w="0" w:type="dxa"/>
            <w:right w:w="108" w:type="dxa"/>
          </w:tblCellMar>
        </w:tblPrEx>
        <w:trPr>
          <w:trHeight w:val="1680"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120</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养护色带</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1.苗木、花卉种类:毛竹</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2、地径3-4cm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2.株高：350-400cm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3.单位面积株数:10株/㎡</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4.养护期:12个月</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m2</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7</w:t>
            </w:r>
          </w:p>
        </w:tc>
      </w:tr>
      <w:tr>
        <w:tblPrEx>
          <w:tblCellMar>
            <w:top w:w="0" w:type="dxa"/>
            <w:left w:w="108" w:type="dxa"/>
            <w:bottom w:w="0" w:type="dxa"/>
            <w:right w:w="108" w:type="dxa"/>
          </w:tblCellMar>
        </w:tblPrEx>
        <w:trPr>
          <w:trHeight w:val="1680"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121</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养护垂丝海棠</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1.种类:垂丝海棠</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2.地径:6-8cm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3.高度:250-300cm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4.冠幅:250-300cm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5.养护期:12个月</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6、全冠，株形饱满，姿态优美</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株</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9</w:t>
            </w:r>
          </w:p>
        </w:tc>
      </w:tr>
      <w:tr>
        <w:tblPrEx>
          <w:tblCellMar>
            <w:top w:w="0" w:type="dxa"/>
            <w:left w:w="108" w:type="dxa"/>
            <w:bottom w:w="0" w:type="dxa"/>
            <w:right w:w="108" w:type="dxa"/>
          </w:tblCellMar>
        </w:tblPrEx>
        <w:trPr>
          <w:trHeight w:val="1595"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122</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养护丹桂B</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1.种类:丹桂B</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2.胸径或干径:15-16</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3.株高、冠幅:450-500，450-500</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4.养护期:12个月</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5、全冠，株形饱满，姿态优美</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株</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1</w:t>
            </w:r>
          </w:p>
        </w:tc>
      </w:tr>
      <w:tr>
        <w:tblPrEx>
          <w:tblCellMar>
            <w:top w:w="0" w:type="dxa"/>
            <w:left w:w="108" w:type="dxa"/>
            <w:bottom w:w="0" w:type="dxa"/>
            <w:right w:w="108" w:type="dxa"/>
          </w:tblCellMar>
        </w:tblPrEx>
        <w:trPr>
          <w:trHeight w:val="2038"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123</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养护乌桕</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1.种类:乌桕</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2、胸径：15cm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3.株高、冠幅:800-900cm，500-550cm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4.养护期:12个月</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5、全冠，树形高挑，枝形自然开阔，姿态优美，3枝以上/丛，总公分数量不低于27cm</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株</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2</w:t>
            </w:r>
          </w:p>
        </w:tc>
      </w:tr>
      <w:tr>
        <w:tblPrEx>
          <w:tblCellMar>
            <w:top w:w="0" w:type="dxa"/>
            <w:left w:w="108" w:type="dxa"/>
            <w:bottom w:w="0" w:type="dxa"/>
            <w:right w:w="108" w:type="dxa"/>
          </w:tblCellMar>
        </w:tblPrEx>
        <w:trPr>
          <w:trHeight w:val="1550"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124</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养护复羽叶栾树</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1.种类:复羽叶栾树</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2.胸径或干径:12</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3.株高、冠幅:650-700，350-400</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4.养护期:12个月</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5、全冠，树形自然开阔，姿态优美，3枝以上主分枝</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株</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8</w:t>
            </w:r>
          </w:p>
        </w:tc>
      </w:tr>
      <w:tr>
        <w:tblPrEx>
          <w:tblCellMar>
            <w:top w:w="0" w:type="dxa"/>
            <w:left w:w="108" w:type="dxa"/>
            <w:bottom w:w="0" w:type="dxa"/>
            <w:right w:w="108" w:type="dxa"/>
          </w:tblCellMar>
        </w:tblPrEx>
        <w:trPr>
          <w:trHeight w:val="1260"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125</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养护芭蕉</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1.种类:芭蕉</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2.株高、冠幅:300-350，250</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3.养护期:12个月</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4、全冠，株形饱满，姿态优美</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株</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38</w:t>
            </w:r>
          </w:p>
        </w:tc>
      </w:tr>
      <w:tr>
        <w:tblPrEx>
          <w:tblCellMar>
            <w:top w:w="0" w:type="dxa"/>
            <w:left w:w="108" w:type="dxa"/>
            <w:bottom w:w="0" w:type="dxa"/>
            <w:right w:w="108" w:type="dxa"/>
          </w:tblCellMar>
        </w:tblPrEx>
        <w:trPr>
          <w:trHeight w:val="285"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ascii="仿宋" w:hAnsi="仿宋" w:eastAsia="仿宋" w:cs="宋体"/>
                <w:color w:val="auto"/>
                <w:sz w:val="20"/>
                <w:szCs w:val="20"/>
              </w:rPr>
            </w:pP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地被</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ascii="仿宋" w:hAnsi="仿宋" w:eastAsia="仿宋" w:cs="宋体"/>
                <w:color w:val="auto"/>
                <w:sz w:val="20"/>
                <w:szCs w:val="20"/>
              </w:rPr>
            </w:pP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ascii="仿宋" w:hAnsi="仿宋" w:eastAsia="仿宋" w:cs="宋体"/>
                <w:color w:val="auto"/>
                <w:sz w:val="20"/>
                <w:szCs w:val="20"/>
              </w:rPr>
            </w:pP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ascii="仿宋" w:hAnsi="仿宋" w:eastAsia="仿宋" w:cs="宋体"/>
                <w:color w:val="auto"/>
                <w:sz w:val="20"/>
                <w:szCs w:val="20"/>
              </w:rPr>
            </w:pPr>
          </w:p>
        </w:tc>
      </w:tr>
      <w:tr>
        <w:tblPrEx>
          <w:tblCellMar>
            <w:top w:w="0" w:type="dxa"/>
            <w:left w:w="108" w:type="dxa"/>
            <w:bottom w:w="0" w:type="dxa"/>
            <w:right w:w="108" w:type="dxa"/>
          </w:tblCellMar>
        </w:tblPrEx>
        <w:trPr>
          <w:trHeight w:val="1333"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126</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养护色带</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1.苗木、花卉种类:红叶石楠</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2.株高或蓬径:H40-45cm、P30-35cm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3.单位面积株数:49株/㎡(毛球）</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4.养护期:12个月</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m2</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383.69</w:t>
            </w:r>
          </w:p>
        </w:tc>
      </w:tr>
      <w:tr>
        <w:tblPrEx>
          <w:tblCellMar>
            <w:top w:w="0" w:type="dxa"/>
            <w:left w:w="108" w:type="dxa"/>
            <w:bottom w:w="0" w:type="dxa"/>
            <w:right w:w="108" w:type="dxa"/>
          </w:tblCellMar>
        </w:tblPrEx>
        <w:trPr>
          <w:trHeight w:val="1018"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127</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养护攀缘植物</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1.植物种类:常青油麻藤</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2.高度及蓬径:80-100cm、30-40cm</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3.养护期:12个月</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株</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3518</w:t>
            </w:r>
          </w:p>
        </w:tc>
      </w:tr>
      <w:tr>
        <w:tblPrEx>
          <w:tblCellMar>
            <w:top w:w="0" w:type="dxa"/>
            <w:left w:w="108" w:type="dxa"/>
            <w:bottom w:w="0" w:type="dxa"/>
            <w:right w:w="108" w:type="dxa"/>
          </w:tblCellMar>
        </w:tblPrEx>
        <w:trPr>
          <w:trHeight w:val="1341"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128</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养护色带</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1.苗木、花卉种类:云南黄馨</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2.株高或蓬径:40-45cm、25-30cm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3.单位面积株数:48株/㎡</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4.养护期:12个月</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m2</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284.42</w:t>
            </w:r>
          </w:p>
        </w:tc>
      </w:tr>
      <w:tr>
        <w:tblPrEx>
          <w:tblCellMar>
            <w:top w:w="0" w:type="dxa"/>
            <w:left w:w="108" w:type="dxa"/>
            <w:bottom w:w="0" w:type="dxa"/>
            <w:right w:w="108" w:type="dxa"/>
          </w:tblCellMar>
        </w:tblPrEx>
        <w:trPr>
          <w:trHeight w:val="720"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129</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养护草皮</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1.草皮种类：麦冬</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2.麦冬高度：10cm</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3.养护期:12个月</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m2</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268.39</w:t>
            </w:r>
          </w:p>
        </w:tc>
      </w:tr>
      <w:tr>
        <w:tblPrEx>
          <w:tblCellMar>
            <w:top w:w="0" w:type="dxa"/>
            <w:left w:w="108" w:type="dxa"/>
            <w:bottom w:w="0" w:type="dxa"/>
            <w:right w:w="108" w:type="dxa"/>
          </w:tblCellMar>
        </w:tblPrEx>
        <w:trPr>
          <w:trHeight w:val="1317"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130</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养护火棘</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1.苗木、花卉种类:火棘</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2.株高及蓬径：40-50、30-35cm</w:t>
            </w:r>
          </w:p>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3.单位面积株数:36株/平米，品字形密植</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4.养护期:12个月</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m2</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321.87</w:t>
            </w:r>
          </w:p>
        </w:tc>
      </w:tr>
      <w:tr>
        <w:tblPrEx>
          <w:tblCellMar>
            <w:top w:w="0" w:type="dxa"/>
            <w:left w:w="108" w:type="dxa"/>
            <w:bottom w:w="0" w:type="dxa"/>
            <w:right w:w="108" w:type="dxa"/>
          </w:tblCellMar>
        </w:tblPrEx>
        <w:trPr>
          <w:trHeight w:val="696"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131</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养护护坡草</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1.草（灌木）籽种类:狗牙根+黑麦草+白三叶</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2.养护期:12个月</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m2</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1450.53</w:t>
            </w:r>
          </w:p>
        </w:tc>
      </w:tr>
      <w:tr>
        <w:tblPrEx>
          <w:tblCellMar>
            <w:top w:w="0" w:type="dxa"/>
            <w:left w:w="108" w:type="dxa"/>
            <w:bottom w:w="0" w:type="dxa"/>
            <w:right w:w="108" w:type="dxa"/>
          </w:tblCellMar>
        </w:tblPrEx>
        <w:trPr>
          <w:trHeight w:val="768"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132</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养护生态复绿组合</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1.草（灌木）籽种类:狗牙根+黑麦草+紫穗槐</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2.养护期:12个月</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m2</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631.53</w:t>
            </w:r>
          </w:p>
        </w:tc>
      </w:tr>
      <w:tr>
        <w:tblPrEx>
          <w:tblCellMar>
            <w:top w:w="0" w:type="dxa"/>
            <w:left w:w="108" w:type="dxa"/>
            <w:bottom w:w="0" w:type="dxa"/>
            <w:right w:w="108" w:type="dxa"/>
          </w:tblCellMar>
        </w:tblPrEx>
        <w:trPr>
          <w:trHeight w:val="978" w:hRule="atLeast"/>
        </w:trPr>
        <w:tc>
          <w:tcPr>
            <w:tcW w:w="61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133</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缀花草坪</w:t>
            </w:r>
          </w:p>
        </w:tc>
        <w:tc>
          <w:tcPr>
            <w:tcW w:w="56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1.草（灌木）籽种类:结缕草：蒲公英：紫花地丁:常夏石竹：黑麦草</w:t>
            </w:r>
          </w:p>
          <w:p>
            <w:pPr>
              <w:widowControl/>
              <w:jc w:val="left"/>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2.养护期:12个月</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m2</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仿宋" w:hAnsi="仿宋" w:eastAsia="仿宋" w:cs="宋体"/>
                <w:color w:val="auto"/>
                <w:sz w:val="20"/>
                <w:szCs w:val="20"/>
              </w:rPr>
            </w:pPr>
            <w:r>
              <w:rPr>
                <w:rFonts w:hint="eastAsia" w:ascii="仿宋" w:hAnsi="仿宋" w:eastAsia="仿宋" w:cs="宋体"/>
                <w:color w:val="auto"/>
                <w:kern w:val="0"/>
                <w:sz w:val="20"/>
                <w:szCs w:val="20"/>
                <w:lang w:bidi="ar"/>
              </w:rPr>
              <w:t>4454.24</w:t>
            </w:r>
          </w:p>
        </w:tc>
      </w:tr>
    </w:tbl>
    <w:p>
      <w:pPr>
        <w:widowControl/>
        <w:ind w:firstLine="3200" w:firstLineChars="1000"/>
        <w:jc w:val="left"/>
        <w:rPr>
          <w:rFonts w:ascii="Times New Roman" w:hAnsi="Times New Roman" w:cs="Times New Roman"/>
          <w:color w:val="auto"/>
          <w:sz w:val="32"/>
          <w:szCs w:val="32"/>
        </w:rPr>
      </w:pPr>
      <w:r>
        <w:rPr>
          <w:rFonts w:ascii="Times New Roman" w:hAnsi="Times New Roman" w:cs="Times New Roman"/>
          <w:color w:val="auto"/>
          <w:sz w:val="32"/>
          <w:szCs w:val="32"/>
        </w:rPr>
        <w:br w:type="page"/>
      </w:r>
    </w:p>
    <w:p>
      <w:pPr>
        <w:jc w:val="left"/>
        <w:rPr>
          <w:rFonts w:ascii="Times New Roman" w:hAnsi="Times New Roman" w:cs="Times New Roman"/>
          <w:color w:val="auto"/>
          <w:sz w:val="24"/>
          <w:szCs w:val="24"/>
        </w:rPr>
      </w:pPr>
      <w:r>
        <w:rPr>
          <w:rFonts w:ascii="Times New Roman" w:hAnsi="Times New Roman" w:cs="Times New Roman"/>
          <w:color w:val="auto"/>
          <w:sz w:val="24"/>
          <w:szCs w:val="24"/>
        </w:rPr>
        <w:t>附件</w:t>
      </w:r>
      <w:r>
        <w:rPr>
          <w:rFonts w:hint="eastAsia" w:ascii="Times New Roman" w:hAnsi="Times New Roman" w:cs="Times New Roman"/>
          <w:color w:val="auto"/>
          <w:sz w:val="24"/>
          <w:szCs w:val="24"/>
        </w:rPr>
        <w:t>3</w:t>
      </w:r>
    </w:p>
    <w:p>
      <w:pPr>
        <w:widowControl/>
        <w:rPr>
          <w:rFonts w:ascii="Times New Roman" w:hAnsi="Times New Roman" w:cs="Times New Roman"/>
          <w:color w:val="auto"/>
          <w:sz w:val="32"/>
          <w:szCs w:val="32"/>
        </w:rPr>
      </w:pPr>
    </w:p>
    <w:p>
      <w:pPr>
        <w:widowControl/>
        <w:jc w:val="center"/>
        <w:rPr>
          <w:rFonts w:ascii="Times New Roman" w:hAnsi="Times New Roman" w:cs="Times New Roman"/>
          <w:color w:val="auto"/>
          <w:sz w:val="32"/>
          <w:szCs w:val="32"/>
        </w:rPr>
      </w:pPr>
      <w:r>
        <w:rPr>
          <w:rFonts w:ascii="Times New Roman" w:hAnsi="Times New Roman" w:cs="Times New Roman"/>
          <w:color w:val="auto"/>
          <w:sz w:val="32"/>
          <w:szCs w:val="32"/>
        </w:rPr>
        <w:t>拟投入设备清单</w:t>
      </w:r>
    </w:p>
    <w:p>
      <w:pPr>
        <w:spacing w:line="240" w:lineRule="atLeast"/>
        <w:rPr>
          <w:rFonts w:ascii="Times New Roman" w:hAnsi="Times New Roman" w:cs="Times New Roman"/>
          <w:color w:val="auto"/>
          <w:sz w:val="24"/>
        </w:rPr>
      </w:pPr>
    </w:p>
    <w:p>
      <w:pPr>
        <w:spacing w:line="240" w:lineRule="atLeast"/>
        <w:rPr>
          <w:rFonts w:ascii="Times New Roman" w:hAnsi="Times New Roman" w:cs="Times New Roman"/>
          <w:color w:val="auto"/>
          <w:sz w:val="24"/>
        </w:rPr>
      </w:pPr>
      <w:r>
        <w:rPr>
          <w:rFonts w:ascii="Times New Roman" w:hAnsi="Times New Roman" w:cs="Times New Roman"/>
          <w:color w:val="auto"/>
          <w:sz w:val="24"/>
        </w:rPr>
        <w:t>项目编号（包号）：</w:t>
      </w:r>
    </w:p>
    <w:p>
      <w:pPr>
        <w:rPr>
          <w:rFonts w:ascii="Times New Roman" w:hAnsi="Times New Roman" w:cs="Times New Roman"/>
          <w:b/>
          <w:bCs/>
          <w:color w:val="auto"/>
          <w:sz w:val="32"/>
          <w:szCs w:val="32"/>
        </w:rPr>
      </w:pPr>
      <w:r>
        <w:rPr>
          <w:rFonts w:ascii="Times New Roman" w:hAnsi="Times New Roman" w:cs="Times New Roman"/>
          <w:color w:val="auto"/>
          <w:sz w:val="24"/>
        </w:rPr>
        <w:t>项目名称：</w:t>
      </w:r>
    </w:p>
    <w:tbl>
      <w:tblPr>
        <w:tblStyle w:val="10"/>
        <w:tblW w:w="866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21"/>
        <w:gridCol w:w="2187"/>
        <w:gridCol w:w="1559"/>
        <w:gridCol w:w="1560"/>
        <w:gridCol w:w="1701"/>
        <w:gridCol w:w="113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80" w:hRule="atLeast"/>
          <w:jc w:val="center"/>
        </w:trPr>
        <w:tc>
          <w:tcPr>
            <w:tcW w:w="521" w:type="dxa"/>
            <w:vAlign w:val="center"/>
          </w:tcPr>
          <w:p>
            <w:pPr>
              <w:adjustRightInd w:val="0"/>
              <w:snapToGrid w:val="0"/>
              <w:ind w:left="-88" w:leftChars="-42"/>
              <w:jc w:val="center"/>
              <w:rPr>
                <w:rFonts w:ascii="Times New Roman" w:hAnsi="Times New Roman" w:cs="Times New Roman"/>
                <w:color w:val="auto"/>
                <w:sz w:val="24"/>
              </w:rPr>
            </w:pPr>
            <w:r>
              <w:rPr>
                <w:rFonts w:ascii="Times New Roman" w:hAnsi="Times New Roman" w:cs="Times New Roman"/>
                <w:color w:val="auto"/>
                <w:sz w:val="24"/>
              </w:rPr>
              <w:t>序号</w:t>
            </w:r>
          </w:p>
        </w:tc>
        <w:tc>
          <w:tcPr>
            <w:tcW w:w="2187" w:type="dxa"/>
            <w:vAlign w:val="center"/>
          </w:tcPr>
          <w:p>
            <w:pPr>
              <w:adjustRightInd w:val="0"/>
              <w:snapToGrid w:val="0"/>
              <w:ind w:left="-88" w:leftChars="-42"/>
              <w:jc w:val="center"/>
              <w:rPr>
                <w:rFonts w:ascii="Times New Roman" w:hAnsi="Times New Roman" w:cs="Times New Roman"/>
                <w:color w:val="auto"/>
                <w:sz w:val="24"/>
              </w:rPr>
            </w:pPr>
            <w:r>
              <w:rPr>
                <w:rFonts w:ascii="Times New Roman" w:hAnsi="Times New Roman" w:cs="Times New Roman"/>
                <w:color w:val="auto"/>
                <w:sz w:val="24"/>
              </w:rPr>
              <w:t>货物（服务）名称</w:t>
            </w:r>
          </w:p>
        </w:tc>
        <w:tc>
          <w:tcPr>
            <w:tcW w:w="1559" w:type="dxa"/>
            <w:tcBorders>
              <w:right w:val="single" w:color="auto" w:sz="4" w:space="0"/>
            </w:tcBorders>
            <w:vAlign w:val="center"/>
          </w:tcPr>
          <w:p>
            <w:pPr>
              <w:adjustRightInd w:val="0"/>
              <w:snapToGrid w:val="0"/>
              <w:jc w:val="center"/>
              <w:rPr>
                <w:rFonts w:ascii="Times New Roman" w:hAnsi="Times New Roman" w:cs="Times New Roman"/>
                <w:color w:val="auto"/>
                <w:sz w:val="24"/>
              </w:rPr>
            </w:pPr>
            <w:r>
              <w:rPr>
                <w:rFonts w:ascii="Times New Roman" w:hAnsi="Times New Roman" w:cs="Times New Roman"/>
                <w:color w:val="auto"/>
                <w:sz w:val="24"/>
              </w:rPr>
              <w:t>制造商名称</w:t>
            </w:r>
          </w:p>
        </w:tc>
        <w:tc>
          <w:tcPr>
            <w:tcW w:w="1560" w:type="dxa"/>
            <w:tcBorders>
              <w:left w:val="single" w:color="auto" w:sz="4" w:space="0"/>
            </w:tcBorders>
            <w:vAlign w:val="center"/>
          </w:tcPr>
          <w:p>
            <w:pPr>
              <w:adjustRightInd w:val="0"/>
              <w:snapToGrid w:val="0"/>
              <w:jc w:val="center"/>
              <w:rPr>
                <w:rFonts w:ascii="Times New Roman" w:hAnsi="Times New Roman" w:cs="Times New Roman"/>
                <w:color w:val="auto"/>
                <w:sz w:val="24"/>
              </w:rPr>
            </w:pPr>
            <w:r>
              <w:rPr>
                <w:rFonts w:ascii="Times New Roman" w:hAnsi="Times New Roman" w:cs="Times New Roman"/>
                <w:color w:val="auto"/>
                <w:sz w:val="24"/>
              </w:rPr>
              <w:t>生产地</w:t>
            </w:r>
          </w:p>
        </w:tc>
        <w:tc>
          <w:tcPr>
            <w:tcW w:w="1701" w:type="dxa"/>
            <w:vAlign w:val="center"/>
          </w:tcPr>
          <w:p>
            <w:pPr>
              <w:adjustRightInd w:val="0"/>
              <w:snapToGrid w:val="0"/>
              <w:jc w:val="center"/>
              <w:rPr>
                <w:rFonts w:ascii="Times New Roman" w:hAnsi="Times New Roman" w:cs="Times New Roman"/>
                <w:color w:val="auto"/>
                <w:sz w:val="24"/>
              </w:rPr>
            </w:pPr>
            <w:r>
              <w:rPr>
                <w:rFonts w:ascii="Times New Roman" w:hAnsi="Times New Roman" w:cs="Times New Roman"/>
                <w:color w:val="auto"/>
                <w:sz w:val="24"/>
              </w:rPr>
              <w:t>规格型号</w:t>
            </w:r>
          </w:p>
        </w:tc>
        <w:tc>
          <w:tcPr>
            <w:tcW w:w="1134" w:type="dxa"/>
            <w:vAlign w:val="center"/>
          </w:tcPr>
          <w:p>
            <w:pPr>
              <w:adjustRightInd w:val="0"/>
              <w:snapToGrid w:val="0"/>
              <w:jc w:val="center"/>
              <w:rPr>
                <w:rFonts w:ascii="Times New Roman" w:hAnsi="Times New Roman" w:cs="Times New Roman"/>
                <w:color w:val="auto"/>
                <w:sz w:val="24"/>
              </w:rPr>
            </w:pPr>
            <w:r>
              <w:rPr>
                <w:rFonts w:ascii="Times New Roman" w:hAnsi="Times New Roman" w:cs="Times New Roman"/>
                <w:color w:val="auto"/>
                <w:sz w:val="24"/>
              </w:rPr>
              <w:t>数量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ind w:left="-88" w:leftChars="-42"/>
              <w:jc w:val="center"/>
              <w:rPr>
                <w:rFonts w:ascii="Times New Roman" w:hAnsi="Times New Roman" w:cs="Times New Roman"/>
                <w:color w:val="auto"/>
                <w:sz w:val="24"/>
              </w:rPr>
            </w:pPr>
            <w:r>
              <w:rPr>
                <w:rFonts w:ascii="Times New Roman" w:hAnsi="Times New Roman" w:cs="Times New Roman"/>
                <w:color w:val="auto"/>
                <w:sz w:val="24"/>
              </w:rPr>
              <w:t>1</w:t>
            </w:r>
          </w:p>
        </w:tc>
        <w:tc>
          <w:tcPr>
            <w:tcW w:w="2187" w:type="dxa"/>
            <w:vAlign w:val="center"/>
          </w:tcPr>
          <w:p>
            <w:pPr>
              <w:adjustRightInd w:val="0"/>
              <w:snapToGrid w:val="0"/>
              <w:ind w:left="-88" w:leftChars="-42"/>
              <w:jc w:val="center"/>
              <w:rPr>
                <w:rFonts w:ascii="Times New Roman" w:hAnsi="Times New Roman" w:cs="Times New Roman"/>
                <w:color w:val="auto"/>
                <w:sz w:val="24"/>
              </w:rPr>
            </w:pPr>
          </w:p>
        </w:tc>
        <w:tc>
          <w:tcPr>
            <w:tcW w:w="1559" w:type="dxa"/>
            <w:tcBorders>
              <w:right w:val="single" w:color="auto" w:sz="4" w:space="0"/>
            </w:tcBorders>
            <w:vAlign w:val="center"/>
          </w:tcPr>
          <w:p>
            <w:pPr>
              <w:adjustRightInd w:val="0"/>
              <w:snapToGrid w:val="0"/>
              <w:jc w:val="center"/>
              <w:rPr>
                <w:rFonts w:ascii="Times New Roman" w:hAnsi="Times New Roman" w:cs="Times New Roman"/>
                <w:color w:val="auto"/>
                <w:sz w:val="24"/>
              </w:rPr>
            </w:pPr>
          </w:p>
        </w:tc>
        <w:tc>
          <w:tcPr>
            <w:tcW w:w="1560" w:type="dxa"/>
            <w:tcBorders>
              <w:left w:val="single" w:color="auto" w:sz="4" w:space="0"/>
            </w:tcBorders>
            <w:vAlign w:val="center"/>
          </w:tcPr>
          <w:p>
            <w:pPr>
              <w:adjustRightInd w:val="0"/>
              <w:snapToGrid w:val="0"/>
              <w:jc w:val="center"/>
              <w:rPr>
                <w:rFonts w:ascii="Times New Roman" w:hAnsi="Times New Roman" w:cs="Times New Roman"/>
                <w:color w:val="auto"/>
                <w:sz w:val="24"/>
              </w:rPr>
            </w:pPr>
          </w:p>
        </w:tc>
        <w:tc>
          <w:tcPr>
            <w:tcW w:w="1701" w:type="dxa"/>
            <w:vAlign w:val="center"/>
          </w:tcPr>
          <w:p>
            <w:pPr>
              <w:adjustRightInd w:val="0"/>
              <w:snapToGrid w:val="0"/>
              <w:jc w:val="center"/>
              <w:rPr>
                <w:rFonts w:ascii="Times New Roman" w:hAnsi="Times New Roman" w:cs="Times New Roman"/>
                <w:color w:val="auto"/>
                <w:sz w:val="24"/>
              </w:rPr>
            </w:pPr>
          </w:p>
        </w:tc>
        <w:tc>
          <w:tcPr>
            <w:tcW w:w="1134" w:type="dxa"/>
            <w:vAlign w:val="center"/>
          </w:tcPr>
          <w:p>
            <w:pPr>
              <w:adjustRightInd w:val="0"/>
              <w:snapToGrid w:val="0"/>
              <w:jc w:val="center"/>
              <w:rPr>
                <w:rFonts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80" w:hRule="atLeast"/>
          <w:jc w:val="center"/>
        </w:trPr>
        <w:tc>
          <w:tcPr>
            <w:tcW w:w="521" w:type="dxa"/>
            <w:vAlign w:val="center"/>
          </w:tcPr>
          <w:p>
            <w:pPr>
              <w:adjustRightInd w:val="0"/>
              <w:snapToGrid w:val="0"/>
              <w:ind w:left="-88" w:leftChars="-42"/>
              <w:jc w:val="center"/>
              <w:rPr>
                <w:rFonts w:ascii="Times New Roman" w:hAnsi="Times New Roman" w:cs="Times New Roman"/>
                <w:color w:val="auto"/>
                <w:sz w:val="24"/>
              </w:rPr>
            </w:pPr>
            <w:r>
              <w:rPr>
                <w:rFonts w:ascii="Times New Roman" w:hAnsi="Times New Roman" w:cs="Times New Roman"/>
                <w:color w:val="auto"/>
                <w:sz w:val="24"/>
              </w:rPr>
              <w:t>2</w:t>
            </w:r>
          </w:p>
        </w:tc>
        <w:tc>
          <w:tcPr>
            <w:tcW w:w="2187" w:type="dxa"/>
            <w:vAlign w:val="center"/>
          </w:tcPr>
          <w:p>
            <w:pPr>
              <w:adjustRightInd w:val="0"/>
              <w:snapToGrid w:val="0"/>
              <w:ind w:left="-88" w:leftChars="-42"/>
              <w:jc w:val="center"/>
              <w:rPr>
                <w:rFonts w:ascii="Times New Roman" w:hAnsi="Times New Roman" w:cs="Times New Roman"/>
                <w:color w:val="auto"/>
                <w:sz w:val="24"/>
              </w:rPr>
            </w:pPr>
          </w:p>
        </w:tc>
        <w:tc>
          <w:tcPr>
            <w:tcW w:w="1559" w:type="dxa"/>
            <w:tcBorders>
              <w:right w:val="single" w:color="auto" w:sz="4" w:space="0"/>
            </w:tcBorders>
            <w:vAlign w:val="center"/>
          </w:tcPr>
          <w:p>
            <w:pPr>
              <w:adjustRightInd w:val="0"/>
              <w:snapToGrid w:val="0"/>
              <w:jc w:val="center"/>
              <w:rPr>
                <w:rFonts w:ascii="Times New Roman" w:hAnsi="Times New Roman" w:cs="Times New Roman"/>
                <w:color w:val="auto"/>
                <w:sz w:val="24"/>
              </w:rPr>
            </w:pPr>
          </w:p>
        </w:tc>
        <w:tc>
          <w:tcPr>
            <w:tcW w:w="1560" w:type="dxa"/>
            <w:tcBorders>
              <w:left w:val="single" w:color="auto" w:sz="4" w:space="0"/>
            </w:tcBorders>
            <w:vAlign w:val="center"/>
          </w:tcPr>
          <w:p>
            <w:pPr>
              <w:adjustRightInd w:val="0"/>
              <w:snapToGrid w:val="0"/>
              <w:jc w:val="center"/>
              <w:rPr>
                <w:rFonts w:ascii="Times New Roman" w:hAnsi="Times New Roman" w:cs="Times New Roman"/>
                <w:color w:val="auto"/>
                <w:sz w:val="24"/>
              </w:rPr>
            </w:pPr>
          </w:p>
        </w:tc>
        <w:tc>
          <w:tcPr>
            <w:tcW w:w="1701" w:type="dxa"/>
            <w:vAlign w:val="center"/>
          </w:tcPr>
          <w:p>
            <w:pPr>
              <w:adjustRightInd w:val="0"/>
              <w:snapToGrid w:val="0"/>
              <w:jc w:val="center"/>
              <w:rPr>
                <w:rFonts w:ascii="Times New Roman" w:hAnsi="Times New Roman" w:cs="Times New Roman"/>
                <w:color w:val="auto"/>
                <w:sz w:val="24"/>
              </w:rPr>
            </w:pPr>
          </w:p>
        </w:tc>
        <w:tc>
          <w:tcPr>
            <w:tcW w:w="1134" w:type="dxa"/>
            <w:vAlign w:val="center"/>
          </w:tcPr>
          <w:p>
            <w:pPr>
              <w:adjustRightInd w:val="0"/>
              <w:snapToGrid w:val="0"/>
              <w:jc w:val="center"/>
              <w:rPr>
                <w:rFonts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ind w:left="-88" w:leftChars="-42"/>
              <w:jc w:val="center"/>
              <w:rPr>
                <w:rFonts w:ascii="Times New Roman" w:hAnsi="Times New Roman" w:cs="Times New Roman"/>
                <w:color w:val="auto"/>
                <w:sz w:val="24"/>
              </w:rPr>
            </w:pPr>
            <w:r>
              <w:rPr>
                <w:rFonts w:ascii="Times New Roman" w:hAnsi="Times New Roman" w:cs="Times New Roman"/>
                <w:color w:val="auto"/>
                <w:sz w:val="24"/>
              </w:rPr>
              <w:t>3</w:t>
            </w:r>
          </w:p>
        </w:tc>
        <w:tc>
          <w:tcPr>
            <w:tcW w:w="2187" w:type="dxa"/>
            <w:vAlign w:val="center"/>
          </w:tcPr>
          <w:p>
            <w:pPr>
              <w:adjustRightInd w:val="0"/>
              <w:snapToGrid w:val="0"/>
              <w:ind w:left="-88" w:leftChars="-42"/>
              <w:jc w:val="center"/>
              <w:rPr>
                <w:rFonts w:ascii="Times New Roman" w:hAnsi="Times New Roman" w:cs="Times New Roman"/>
                <w:color w:val="auto"/>
                <w:sz w:val="24"/>
              </w:rPr>
            </w:pPr>
          </w:p>
        </w:tc>
        <w:tc>
          <w:tcPr>
            <w:tcW w:w="1559" w:type="dxa"/>
            <w:tcBorders>
              <w:right w:val="single" w:color="auto" w:sz="4" w:space="0"/>
            </w:tcBorders>
            <w:vAlign w:val="center"/>
          </w:tcPr>
          <w:p>
            <w:pPr>
              <w:adjustRightInd w:val="0"/>
              <w:snapToGrid w:val="0"/>
              <w:jc w:val="center"/>
              <w:rPr>
                <w:rFonts w:ascii="Times New Roman" w:hAnsi="Times New Roman" w:cs="Times New Roman"/>
                <w:color w:val="auto"/>
                <w:sz w:val="24"/>
              </w:rPr>
            </w:pPr>
          </w:p>
        </w:tc>
        <w:tc>
          <w:tcPr>
            <w:tcW w:w="1560" w:type="dxa"/>
            <w:tcBorders>
              <w:left w:val="single" w:color="auto" w:sz="4" w:space="0"/>
            </w:tcBorders>
            <w:vAlign w:val="center"/>
          </w:tcPr>
          <w:p>
            <w:pPr>
              <w:adjustRightInd w:val="0"/>
              <w:snapToGrid w:val="0"/>
              <w:jc w:val="center"/>
              <w:rPr>
                <w:rFonts w:ascii="Times New Roman" w:hAnsi="Times New Roman" w:cs="Times New Roman"/>
                <w:color w:val="auto"/>
                <w:sz w:val="24"/>
              </w:rPr>
            </w:pPr>
          </w:p>
        </w:tc>
        <w:tc>
          <w:tcPr>
            <w:tcW w:w="1701" w:type="dxa"/>
            <w:vAlign w:val="center"/>
          </w:tcPr>
          <w:p>
            <w:pPr>
              <w:adjustRightInd w:val="0"/>
              <w:snapToGrid w:val="0"/>
              <w:jc w:val="center"/>
              <w:rPr>
                <w:rFonts w:ascii="Times New Roman" w:hAnsi="Times New Roman" w:cs="Times New Roman"/>
                <w:color w:val="auto"/>
                <w:sz w:val="24"/>
              </w:rPr>
            </w:pPr>
          </w:p>
        </w:tc>
        <w:tc>
          <w:tcPr>
            <w:tcW w:w="1134" w:type="dxa"/>
            <w:vAlign w:val="center"/>
          </w:tcPr>
          <w:p>
            <w:pPr>
              <w:adjustRightInd w:val="0"/>
              <w:snapToGrid w:val="0"/>
              <w:jc w:val="center"/>
              <w:rPr>
                <w:rFonts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ind w:left="-88" w:leftChars="-42"/>
              <w:jc w:val="center"/>
              <w:rPr>
                <w:rFonts w:ascii="Times New Roman" w:hAnsi="Times New Roman" w:cs="Times New Roman"/>
                <w:color w:val="auto"/>
                <w:sz w:val="24"/>
              </w:rPr>
            </w:pPr>
            <w:r>
              <w:rPr>
                <w:rFonts w:ascii="Times New Roman" w:hAnsi="Times New Roman" w:cs="Times New Roman"/>
                <w:color w:val="auto"/>
                <w:sz w:val="24"/>
              </w:rPr>
              <w:t>4</w:t>
            </w:r>
          </w:p>
        </w:tc>
        <w:tc>
          <w:tcPr>
            <w:tcW w:w="2187" w:type="dxa"/>
            <w:vAlign w:val="center"/>
          </w:tcPr>
          <w:p>
            <w:pPr>
              <w:adjustRightInd w:val="0"/>
              <w:snapToGrid w:val="0"/>
              <w:ind w:left="-88" w:leftChars="-42"/>
              <w:jc w:val="center"/>
              <w:rPr>
                <w:rFonts w:ascii="Times New Roman" w:hAnsi="Times New Roman" w:cs="Times New Roman"/>
                <w:color w:val="auto"/>
                <w:sz w:val="24"/>
              </w:rPr>
            </w:pPr>
          </w:p>
        </w:tc>
        <w:tc>
          <w:tcPr>
            <w:tcW w:w="1559" w:type="dxa"/>
            <w:tcBorders>
              <w:right w:val="single" w:color="auto" w:sz="4" w:space="0"/>
            </w:tcBorders>
            <w:vAlign w:val="center"/>
          </w:tcPr>
          <w:p>
            <w:pPr>
              <w:adjustRightInd w:val="0"/>
              <w:snapToGrid w:val="0"/>
              <w:jc w:val="center"/>
              <w:rPr>
                <w:rFonts w:ascii="Times New Roman" w:hAnsi="Times New Roman" w:cs="Times New Roman"/>
                <w:color w:val="auto"/>
                <w:sz w:val="24"/>
              </w:rPr>
            </w:pPr>
          </w:p>
        </w:tc>
        <w:tc>
          <w:tcPr>
            <w:tcW w:w="1560" w:type="dxa"/>
            <w:tcBorders>
              <w:left w:val="single" w:color="auto" w:sz="4" w:space="0"/>
            </w:tcBorders>
            <w:vAlign w:val="center"/>
          </w:tcPr>
          <w:p>
            <w:pPr>
              <w:adjustRightInd w:val="0"/>
              <w:snapToGrid w:val="0"/>
              <w:jc w:val="center"/>
              <w:rPr>
                <w:rFonts w:ascii="Times New Roman" w:hAnsi="Times New Roman" w:cs="Times New Roman"/>
                <w:color w:val="auto"/>
                <w:sz w:val="24"/>
              </w:rPr>
            </w:pPr>
          </w:p>
        </w:tc>
        <w:tc>
          <w:tcPr>
            <w:tcW w:w="1701" w:type="dxa"/>
            <w:vAlign w:val="center"/>
          </w:tcPr>
          <w:p>
            <w:pPr>
              <w:adjustRightInd w:val="0"/>
              <w:snapToGrid w:val="0"/>
              <w:jc w:val="center"/>
              <w:rPr>
                <w:rFonts w:ascii="Times New Roman" w:hAnsi="Times New Roman" w:cs="Times New Roman"/>
                <w:color w:val="auto"/>
                <w:sz w:val="24"/>
              </w:rPr>
            </w:pPr>
          </w:p>
        </w:tc>
        <w:tc>
          <w:tcPr>
            <w:tcW w:w="1134" w:type="dxa"/>
            <w:vAlign w:val="center"/>
          </w:tcPr>
          <w:p>
            <w:pPr>
              <w:adjustRightInd w:val="0"/>
              <w:snapToGrid w:val="0"/>
              <w:jc w:val="center"/>
              <w:rPr>
                <w:rFonts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80" w:hRule="atLeast"/>
          <w:jc w:val="center"/>
        </w:trPr>
        <w:tc>
          <w:tcPr>
            <w:tcW w:w="521" w:type="dxa"/>
            <w:vAlign w:val="center"/>
          </w:tcPr>
          <w:p>
            <w:pPr>
              <w:adjustRightInd w:val="0"/>
              <w:snapToGrid w:val="0"/>
              <w:ind w:left="-88" w:leftChars="-42"/>
              <w:jc w:val="center"/>
              <w:rPr>
                <w:rFonts w:ascii="Times New Roman" w:hAnsi="Times New Roman" w:cs="Times New Roman"/>
                <w:color w:val="auto"/>
                <w:sz w:val="24"/>
              </w:rPr>
            </w:pPr>
            <w:r>
              <w:rPr>
                <w:rFonts w:ascii="Times New Roman" w:hAnsi="Times New Roman" w:cs="Times New Roman"/>
                <w:color w:val="auto"/>
                <w:sz w:val="24"/>
              </w:rPr>
              <w:t>5</w:t>
            </w:r>
          </w:p>
        </w:tc>
        <w:tc>
          <w:tcPr>
            <w:tcW w:w="2187" w:type="dxa"/>
            <w:vAlign w:val="center"/>
          </w:tcPr>
          <w:p>
            <w:pPr>
              <w:adjustRightInd w:val="0"/>
              <w:snapToGrid w:val="0"/>
              <w:ind w:left="-88" w:leftChars="-42"/>
              <w:jc w:val="center"/>
              <w:rPr>
                <w:rFonts w:ascii="Times New Roman" w:hAnsi="Times New Roman" w:cs="Times New Roman"/>
                <w:color w:val="auto"/>
                <w:sz w:val="24"/>
              </w:rPr>
            </w:pPr>
          </w:p>
        </w:tc>
        <w:tc>
          <w:tcPr>
            <w:tcW w:w="1559" w:type="dxa"/>
            <w:tcBorders>
              <w:right w:val="single" w:color="auto" w:sz="4" w:space="0"/>
            </w:tcBorders>
            <w:vAlign w:val="center"/>
          </w:tcPr>
          <w:p>
            <w:pPr>
              <w:adjustRightInd w:val="0"/>
              <w:snapToGrid w:val="0"/>
              <w:jc w:val="center"/>
              <w:rPr>
                <w:rFonts w:ascii="Times New Roman" w:hAnsi="Times New Roman" w:cs="Times New Roman"/>
                <w:color w:val="auto"/>
                <w:sz w:val="24"/>
              </w:rPr>
            </w:pPr>
          </w:p>
        </w:tc>
        <w:tc>
          <w:tcPr>
            <w:tcW w:w="1560" w:type="dxa"/>
            <w:tcBorders>
              <w:left w:val="single" w:color="auto" w:sz="4" w:space="0"/>
            </w:tcBorders>
            <w:vAlign w:val="center"/>
          </w:tcPr>
          <w:p>
            <w:pPr>
              <w:adjustRightInd w:val="0"/>
              <w:snapToGrid w:val="0"/>
              <w:jc w:val="center"/>
              <w:rPr>
                <w:rFonts w:ascii="Times New Roman" w:hAnsi="Times New Roman" w:cs="Times New Roman"/>
                <w:color w:val="auto"/>
                <w:sz w:val="24"/>
              </w:rPr>
            </w:pPr>
          </w:p>
        </w:tc>
        <w:tc>
          <w:tcPr>
            <w:tcW w:w="1701" w:type="dxa"/>
            <w:vAlign w:val="center"/>
          </w:tcPr>
          <w:p>
            <w:pPr>
              <w:adjustRightInd w:val="0"/>
              <w:snapToGrid w:val="0"/>
              <w:jc w:val="center"/>
              <w:rPr>
                <w:rFonts w:ascii="Times New Roman" w:hAnsi="Times New Roman" w:cs="Times New Roman"/>
                <w:color w:val="auto"/>
                <w:sz w:val="24"/>
              </w:rPr>
            </w:pPr>
          </w:p>
        </w:tc>
        <w:tc>
          <w:tcPr>
            <w:tcW w:w="1134" w:type="dxa"/>
            <w:vAlign w:val="center"/>
          </w:tcPr>
          <w:p>
            <w:pPr>
              <w:adjustRightInd w:val="0"/>
              <w:snapToGrid w:val="0"/>
              <w:jc w:val="center"/>
              <w:rPr>
                <w:rFonts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ind w:left="-88" w:leftChars="-42"/>
              <w:jc w:val="center"/>
              <w:rPr>
                <w:rFonts w:ascii="Times New Roman" w:hAnsi="Times New Roman" w:cs="Times New Roman"/>
                <w:color w:val="auto"/>
                <w:sz w:val="24"/>
              </w:rPr>
            </w:pPr>
            <w:r>
              <w:rPr>
                <w:rFonts w:ascii="Times New Roman" w:hAnsi="Times New Roman" w:cs="Times New Roman"/>
                <w:color w:val="auto"/>
                <w:sz w:val="24"/>
              </w:rPr>
              <w:t>6</w:t>
            </w:r>
          </w:p>
        </w:tc>
        <w:tc>
          <w:tcPr>
            <w:tcW w:w="2187" w:type="dxa"/>
            <w:vAlign w:val="center"/>
          </w:tcPr>
          <w:p>
            <w:pPr>
              <w:adjustRightInd w:val="0"/>
              <w:snapToGrid w:val="0"/>
              <w:ind w:left="-88" w:leftChars="-42"/>
              <w:jc w:val="center"/>
              <w:rPr>
                <w:rFonts w:ascii="Times New Roman" w:hAnsi="Times New Roman" w:cs="Times New Roman"/>
                <w:color w:val="auto"/>
                <w:sz w:val="24"/>
              </w:rPr>
            </w:pPr>
          </w:p>
        </w:tc>
        <w:tc>
          <w:tcPr>
            <w:tcW w:w="1559" w:type="dxa"/>
            <w:tcBorders>
              <w:right w:val="single" w:color="auto" w:sz="4" w:space="0"/>
            </w:tcBorders>
            <w:vAlign w:val="center"/>
          </w:tcPr>
          <w:p>
            <w:pPr>
              <w:adjustRightInd w:val="0"/>
              <w:snapToGrid w:val="0"/>
              <w:jc w:val="center"/>
              <w:rPr>
                <w:rFonts w:ascii="Times New Roman" w:hAnsi="Times New Roman" w:cs="Times New Roman"/>
                <w:color w:val="auto"/>
                <w:sz w:val="24"/>
              </w:rPr>
            </w:pPr>
          </w:p>
        </w:tc>
        <w:tc>
          <w:tcPr>
            <w:tcW w:w="1560" w:type="dxa"/>
            <w:tcBorders>
              <w:left w:val="single" w:color="auto" w:sz="4" w:space="0"/>
            </w:tcBorders>
            <w:vAlign w:val="center"/>
          </w:tcPr>
          <w:p>
            <w:pPr>
              <w:adjustRightInd w:val="0"/>
              <w:snapToGrid w:val="0"/>
              <w:jc w:val="center"/>
              <w:rPr>
                <w:rFonts w:ascii="Times New Roman" w:hAnsi="Times New Roman" w:cs="Times New Roman"/>
                <w:color w:val="auto"/>
                <w:sz w:val="24"/>
              </w:rPr>
            </w:pPr>
          </w:p>
        </w:tc>
        <w:tc>
          <w:tcPr>
            <w:tcW w:w="1701" w:type="dxa"/>
            <w:vAlign w:val="center"/>
          </w:tcPr>
          <w:p>
            <w:pPr>
              <w:adjustRightInd w:val="0"/>
              <w:snapToGrid w:val="0"/>
              <w:jc w:val="center"/>
              <w:rPr>
                <w:rFonts w:ascii="Times New Roman" w:hAnsi="Times New Roman" w:cs="Times New Roman"/>
                <w:color w:val="auto"/>
                <w:sz w:val="24"/>
              </w:rPr>
            </w:pPr>
          </w:p>
        </w:tc>
        <w:tc>
          <w:tcPr>
            <w:tcW w:w="1134" w:type="dxa"/>
            <w:vAlign w:val="center"/>
          </w:tcPr>
          <w:p>
            <w:pPr>
              <w:adjustRightInd w:val="0"/>
              <w:snapToGrid w:val="0"/>
              <w:jc w:val="center"/>
              <w:rPr>
                <w:rFonts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ind w:left="-88" w:leftChars="-42"/>
              <w:jc w:val="center"/>
              <w:rPr>
                <w:rFonts w:ascii="Times New Roman" w:hAnsi="Times New Roman" w:cs="Times New Roman"/>
                <w:color w:val="auto"/>
                <w:sz w:val="24"/>
              </w:rPr>
            </w:pPr>
            <w:r>
              <w:rPr>
                <w:rFonts w:ascii="Times New Roman" w:hAnsi="Times New Roman" w:cs="Times New Roman"/>
                <w:color w:val="auto"/>
                <w:sz w:val="24"/>
              </w:rPr>
              <w:t>7</w:t>
            </w:r>
          </w:p>
        </w:tc>
        <w:tc>
          <w:tcPr>
            <w:tcW w:w="2187" w:type="dxa"/>
            <w:vAlign w:val="center"/>
          </w:tcPr>
          <w:p>
            <w:pPr>
              <w:adjustRightInd w:val="0"/>
              <w:snapToGrid w:val="0"/>
              <w:ind w:left="-88" w:leftChars="-42"/>
              <w:jc w:val="center"/>
              <w:rPr>
                <w:rFonts w:ascii="Times New Roman" w:hAnsi="Times New Roman" w:cs="Times New Roman"/>
                <w:color w:val="auto"/>
                <w:sz w:val="24"/>
              </w:rPr>
            </w:pPr>
          </w:p>
        </w:tc>
        <w:tc>
          <w:tcPr>
            <w:tcW w:w="1559" w:type="dxa"/>
            <w:tcBorders>
              <w:right w:val="single" w:color="auto" w:sz="4" w:space="0"/>
            </w:tcBorders>
            <w:vAlign w:val="center"/>
          </w:tcPr>
          <w:p>
            <w:pPr>
              <w:adjustRightInd w:val="0"/>
              <w:snapToGrid w:val="0"/>
              <w:jc w:val="center"/>
              <w:rPr>
                <w:rFonts w:ascii="Times New Roman" w:hAnsi="Times New Roman" w:cs="Times New Roman"/>
                <w:color w:val="auto"/>
                <w:sz w:val="24"/>
              </w:rPr>
            </w:pPr>
          </w:p>
        </w:tc>
        <w:tc>
          <w:tcPr>
            <w:tcW w:w="1560" w:type="dxa"/>
            <w:tcBorders>
              <w:left w:val="single" w:color="auto" w:sz="4" w:space="0"/>
            </w:tcBorders>
            <w:vAlign w:val="center"/>
          </w:tcPr>
          <w:p>
            <w:pPr>
              <w:adjustRightInd w:val="0"/>
              <w:snapToGrid w:val="0"/>
              <w:jc w:val="center"/>
              <w:rPr>
                <w:rFonts w:ascii="Times New Roman" w:hAnsi="Times New Roman" w:cs="Times New Roman"/>
                <w:color w:val="auto"/>
                <w:sz w:val="24"/>
              </w:rPr>
            </w:pPr>
          </w:p>
        </w:tc>
        <w:tc>
          <w:tcPr>
            <w:tcW w:w="1701" w:type="dxa"/>
            <w:vAlign w:val="center"/>
          </w:tcPr>
          <w:p>
            <w:pPr>
              <w:adjustRightInd w:val="0"/>
              <w:snapToGrid w:val="0"/>
              <w:jc w:val="center"/>
              <w:rPr>
                <w:rFonts w:ascii="Times New Roman" w:hAnsi="Times New Roman" w:cs="Times New Roman"/>
                <w:color w:val="auto"/>
                <w:sz w:val="24"/>
              </w:rPr>
            </w:pPr>
          </w:p>
        </w:tc>
        <w:tc>
          <w:tcPr>
            <w:tcW w:w="1134" w:type="dxa"/>
            <w:vAlign w:val="center"/>
          </w:tcPr>
          <w:p>
            <w:pPr>
              <w:adjustRightInd w:val="0"/>
              <w:snapToGrid w:val="0"/>
              <w:jc w:val="center"/>
              <w:rPr>
                <w:rFonts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ind w:left="-88" w:leftChars="-42"/>
              <w:jc w:val="center"/>
              <w:rPr>
                <w:rFonts w:ascii="Times New Roman" w:hAnsi="Times New Roman" w:cs="Times New Roman"/>
                <w:color w:val="auto"/>
                <w:sz w:val="24"/>
              </w:rPr>
            </w:pPr>
            <w:r>
              <w:rPr>
                <w:rFonts w:ascii="Times New Roman" w:hAnsi="Times New Roman" w:cs="Times New Roman"/>
                <w:color w:val="auto"/>
                <w:sz w:val="24"/>
              </w:rPr>
              <w:t>8</w:t>
            </w:r>
          </w:p>
        </w:tc>
        <w:tc>
          <w:tcPr>
            <w:tcW w:w="2187" w:type="dxa"/>
            <w:vAlign w:val="center"/>
          </w:tcPr>
          <w:p>
            <w:pPr>
              <w:adjustRightInd w:val="0"/>
              <w:snapToGrid w:val="0"/>
              <w:ind w:left="-88" w:leftChars="-42"/>
              <w:jc w:val="center"/>
              <w:rPr>
                <w:rFonts w:ascii="Times New Roman" w:hAnsi="Times New Roman" w:cs="Times New Roman"/>
                <w:color w:val="auto"/>
                <w:sz w:val="24"/>
              </w:rPr>
            </w:pPr>
          </w:p>
        </w:tc>
        <w:tc>
          <w:tcPr>
            <w:tcW w:w="1559" w:type="dxa"/>
            <w:tcBorders>
              <w:right w:val="single" w:color="auto" w:sz="4" w:space="0"/>
            </w:tcBorders>
            <w:vAlign w:val="center"/>
          </w:tcPr>
          <w:p>
            <w:pPr>
              <w:adjustRightInd w:val="0"/>
              <w:snapToGrid w:val="0"/>
              <w:jc w:val="center"/>
              <w:rPr>
                <w:rFonts w:ascii="Times New Roman" w:hAnsi="Times New Roman" w:cs="Times New Roman"/>
                <w:color w:val="auto"/>
                <w:sz w:val="24"/>
              </w:rPr>
            </w:pPr>
          </w:p>
        </w:tc>
        <w:tc>
          <w:tcPr>
            <w:tcW w:w="1560" w:type="dxa"/>
            <w:tcBorders>
              <w:left w:val="single" w:color="auto" w:sz="4" w:space="0"/>
            </w:tcBorders>
            <w:vAlign w:val="center"/>
          </w:tcPr>
          <w:p>
            <w:pPr>
              <w:adjustRightInd w:val="0"/>
              <w:snapToGrid w:val="0"/>
              <w:jc w:val="center"/>
              <w:rPr>
                <w:rFonts w:ascii="Times New Roman" w:hAnsi="Times New Roman" w:cs="Times New Roman"/>
                <w:color w:val="auto"/>
                <w:sz w:val="24"/>
              </w:rPr>
            </w:pPr>
          </w:p>
        </w:tc>
        <w:tc>
          <w:tcPr>
            <w:tcW w:w="1701" w:type="dxa"/>
            <w:vAlign w:val="center"/>
          </w:tcPr>
          <w:p>
            <w:pPr>
              <w:adjustRightInd w:val="0"/>
              <w:snapToGrid w:val="0"/>
              <w:jc w:val="center"/>
              <w:rPr>
                <w:rFonts w:ascii="Times New Roman" w:hAnsi="Times New Roman" w:cs="Times New Roman"/>
                <w:color w:val="auto"/>
                <w:sz w:val="24"/>
              </w:rPr>
            </w:pPr>
          </w:p>
        </w:tc>
        <w:tc>
          <w:tcPr>
            <w:tcW w:w="1134" w:type="dxa"/>
            <w:vAlign w:val="center"/>
          </w:tcPr>
          <w:p>
            <w:pPr>
              <w:adjustRightInd w:val="0"/>
              <w:snapToGrid w:val="0"/>
              <w:jc w:val="center"/>
              <w:rPr>
                <w:rFonts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ind w:left="-88" w:leftChars="-42"/>
              <w:jc w:val="center"/>
              <w:rPr>
                <w:rFonts w:ascii="Times New Roman" w:hAnsi="Times New Roman" w:cs="Times New Roman"/>
                <w:color w:val="auto"/>
                <w:sz w:val="24"/>
              </w:rPr>
            </w:pPr>
            <w:r>
              <w:rPr>
                <w:rFonts w:ascii="Times New Roman" w:hAnsi="Times New Roman" w:cs="Times New Roman"/>
                <w:color w:val="auto"/>
                <w:sz w:val="24"/>
              </w:rPr>
              <w:t>…</w:t>
            </w:r>
          </w:p>
        </w:tc>
        <w:tc>
          <w:tcPr>
            <w:tcW w:w="2187" w:type="dxa"/>
            <w:vAlign w:val="center"/>
          </w:tcPr>
          <w:p>
            <w:pPr>
              <w:adjustRightInd w:val="0"/>
              <w:snapToGrid w:val="0"/>
              <w:ind w:left="-88" w:leftChars="-42"/>
              <w:jc w:val="center"/>
              <w:rPr>
                <w:rFonts w:ascii="Times New Roman" w:hAnsi="Times New Roman" w:cs="Times New Roman"/>
                <w:color w:val="auto"/>
                <w:sz w:val="24"/>
              </w:rPr>
            </w:pPr>
          </w:p>
        </w:tc>
        <w:tc>
          <w:tcPr>
            <w:tcW w:w="1559" w:type="dxa"/>
            <w:tcBorders>
              <w:right w:val="single" w:color="auto" w:sz="4" w:space="0"/>
            </w:tcBorders>
            <w:vAlign w:val="center"/>
          </w:tcPr>
          <w:p>
            <w:pPr>
              <w:adjustRightInd w:val="0"/>
              <w:snapToGrid w:val="0"/>
              <w:jc w:val="center"/>
              <w:rPr>
                <w:rFonts w:ascii="Times New Roman" w:hAnsi="Times New Roman" w:cs="Times New Roman"/>
                <w:color w:val="auto"/>
                <w:sz w:val="24"/>
              </w:rPr>
            </w:pPr>
          </w:p>
        </w:tc>
        <w:tc>
          <w:tcPr>
            <w:tcW w:w="1560" w:type="dxa"/>
            <w:tcBorders>
              <w:left w:val="single" w:color="auto" w:sz="4" w:space="0"/>
            </w:tcBorders>
            <w:vAlign w:val="center"/>
          </w:tcPr>
          <w:p>
            <w:pPr>
              <w:adjustRightInd w:val="0"/>
              <w:snapToGrid w:val="0"/>
              <w:jc w:val="center"/>
              <w:rPr>
                <w:rFonts w:ascii="Times New Roman" w:hAnsi="Times New Roman" w:cs="Times New Roman"/>
                <w:color w:val="auto"/>
                <w:sz w:val="24"/>
              </w:rPr>
            </w:pPr>
          </w:p>
        </w:tc>
        <w:tc>
          <w:tcPr>
            <w:tcW w:w="1701" w:type="dxa"/>
            <w:vAlign w:val="center"/>
          </w:tcPr>
          <w:p>
            <w:pPr>
              <w:adjustRightInd w:val="0"/>
              <w:snapToGrid w:val="0"/>
              <w:jc w:val="center"/>
              <w:rPr>
                <w:rFonts w:ascii="Times New Roman" w:hAnsi="Times New Roman" w:cs="Times New Roman"/>
                <w:color w:val="auto"/>
                <w:sz w:val="24"/>
              </w:rPr>
            </w:pPr>
          </w:p>
        </w:tc>
        <w:tc>
          <w:tcPr>
            <w:tcW w:w="1134" w:type="dxa"/>
            <w:vAlign w:val="center"/>
          </w:tcPr>
          <w:p>
            <w:pPr>
              <w:adjustRightInd w:val="0"/>
              <w:snapToGrid w:val="0"/>
              <w:jc w:val="center"/>
              <w:rPr>
                <w:rFonts w:ascii="Times New Roman" w:hAnsi="Times New Roman" w:cs="Times New Roman"/>
                <w:color w:val="auto"/>
                <w:sz w:val="24"/>
              </w:rPr>
            </w:pPr>
          </w:p>
        </w:tc>
      </w:tr>
    </w:tbl>
    <w:p>
      <w:pPr>
        <w:spacing w:line="240" w:lineRule="atLeast"/>
        <w:ind w:firstLine="480" w:firstLineChars="200"/>
        <w:rPr>
          <w:rFonts w:ascii="Times New Roman" w:hAnsi="Times New Roman" w:cs="Times New Roman"/>
          <w:color w:val="auto"/>
          <w:sz w:val="24"/>
        </w:rPr>
      </w:pPr>
    </w:p>
    <w:p>
      <w:pPr>
        <w:spacing w:line="240" w:lineRule="atLeast"/>
        <w:ind w:firstLine="480" w:firstLineChars="200"/>
        <w:rPr>
          <w:rFonts w:ascii="Times New Roman" w:hAnsi="Times New Roman" w:cs="Times New Roman"/>
          <w:color w:val="auto"/>
          <w:sz w:val="24"/>
        </w:rPr>
      </w:pPr>
    </w:p>
    <w:p>
      <w:pPr>
        <w:spacing w:line="240" w:lineRule="atLeast"/>
        <w:ind w:firstLine="480" w:firstLineChars="200"/>
        <w:rPr>
          <w:rFonts w:ascii="Times New Roman" w:hAnsi="Times New Roman" w:cs="Times New Roman"/>
          <w:color w:val="auto"/>
        </w:rPr>
      </w:pPr>
      <w:r>
        <w:rPr>
          <w:rFonts w:ascii="Times New Roman" w:hAnsi="Times New Roman" w:cs="Times New Roman"/>
          <w:color w:val="auto"/>
          <w:sz w:val="24"/>
        </w:rPr>
        <w:t>说明：提供详细的货物和服务范围，包括货物和服务类别及制造（开发）商、备品备件等。</w:t>
      </w:r>
    </w:p>
    <w:p>
      <w:pPr>
        <w:spacing w:line="500" w:lineRule="exact"/>
        <w:rPr>
          <w:rFonts w:ascii="Times New Roman" w:hAnsi="Times New Roman" w:eastAsia="仿宋_GB2312" w:cs="Times New Roman"/>
          <w:color w:val="auto"/>
          <w:sz w:val="24"/>
        </w:rPr>
      </w:pPr>
    </w:p>
    <w:p>
      <w:pPr>
        <w:pStyle w:val="5"/>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供应商名称（公章）：</w:t>
      </w:r>
    </w:p>
    <w:p>
      <w:pPr>
        <w:pStyle w:val="5"/>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授权代表（签字）：</w:t>
      </w:r>
    </w:p>
    <w:p>
      <w:pPr>
        <w:pStyle w:val="5"/>
        <w:spacing w:line="500" w:lineRule="exact"/>
        <w:rPr>
          <w:rFonts w:ascii="Times New Roman" w:hAnsi="Times New Roman" w:cs="Times New Roman"/>
          <w:color w:val="auto"/>
          <w:sz w:val="24"/>
          <w:szCs w:val="24"/>
        </w:rPr>
      </w:pPr>
      <w:r>
        <w:rPr>
          <w:rFonts w:ascii="Times New Roman" w:hAnsi="Times New Roman" w:cs="Times New Roman"/>
          <w:color w:val="auto"/>
          <w:sz w:val="24"/>
          <w:szCs w:val="24"/>
        </w:rPr>
        <w:t>时间：</w:t>
      </w:r>
    </w:p>
    <w:p>
      <w:pPr>
        <w:widowControl/>
        <w:jc w:val="left"/>
        <w:rPr>
          <w:rFonts w:ascii="Times New Roman" w:hAnsi="Times New Roman" w:cs="Times New Roman"/>
          <w:color w:val="auto"/>
          <w:sz w:val="32"/>
          <w:szCs w:val="32"/>
        </w:rPr>
      </w:pPr>
    </w:p>
    <w:p>
      <w:pPr>
        <w:widowControl/>
        <w:jc w:val="left"/>
        <w:rPr>
          <w:rFonts w:ascii="Times New Roman" w:hAnsi="Times New Roman" w:cs="Times New Roman"/>
          <w:color w:val="auto"/>
          <w:sz w:val="32"/>
          <w:szCs w:val="32"/>
        </w:rPr>
      </w:pPr>
      <w:r>
        <w:rPr>
          <w:rFonts w:ascii="Times New Roman" w:hAnsi="Times New Roman" w:cs="Times New Roman"/>
          <w:color w:val="auto"/>
          <w:sz w:val="32"/>
          <w:szCs w:val="32"/>
        </w:rPr>
        <w:br w:type="page"/>
      </w:r>
    </w:p>
    <w:p>
      <w:pPr>
        <w:jc w:val="left"/>
        <w:rPr>
          <w:rFonts w:ascii="Times New Roman" w:hAnsi="Times New Roman" w:cs="Times New Roman"/>
          <w:color w:val="auto"/>
          <w:sz w:val="24"/>
          <w:szCs w:val="24"/>
        </w:rPr>
      </w:pPr>
    </w:p>
    <w:p>
      <w:pPr>
        <w:jc w:val="left"/>
        <w:rPr>
          <w:rFonts w:ascii="Times New Roman" w:hAnsi="Times New Roman" w:cs="Times New Roman"/>
          <w:color w:val="auto"/>
          <w:sz w:val="24"/>
          <w:szCs w:val="24"/>
        </w:rPr>
      </w:pPr>
      <w:r>
        <w:rPr>
          <w:rFonts w:ascii="Times New Roman" w:hAnsi="Times New Roman" w:cs="Times New Roman"/>
          <w:color w:val="auto"/>
          <w:sz w:val="24"/>
          <w:szCs w:val="24"/>
        </w:rPr>
        <w:t>附件4</w:t>
      </w:r>
    </w:p>
    <w:p>
      <w:pPr>
        <w:topLinePunct/>
        <w:spacing w:line="300" w:lineRule="auto"/>
        <w:jc w:val="center"/>
        <w:rPr>
          <w:rFonts w:ascii="宋体"/>
          <w:color w:val="auto"/>
          <w:sz w:val="32"/>
          <w:szCs w:val="32"/>
        </w:rPr>
      </w:pPr>
      <w:r>
        <w:rPr>
          <w:rFonts w:hint="eastAsia" w:ascii="宋体" w:hAnsi="宋体"/>
          <w:color w:val="auto"/>
          <w:sz w:val="32"/>
          <w:szCs w:val="32"/>
        </w:rPr>
        <w:t>类似项目业绩表</w:t>
      </w:r>
    </w:p>
    <w:p>
      <w:pPr>
        <w:topLinePunct/>
        <w:spacing w:line="300" w:lineRule="auto"/>
        <w:ind w:firstLine="480" w:firstLineChars="200"/>
        <w:rPr>
          <w:rFonts w:ascii="宋体" w:cs="宋体"/>
          <w:color w:val="auto"/>
          <w:sz w:val="24"/>
          <w:u w:val="single"/>
        </w:rPr>
      </w:pPr>
      <w:r>
        <w:rPr>
          <w:rFonts w:hint="eastAsia" w:ascii="宋体" w:hAnsi="宋体" w:cs="宋体"/>
          <w:color w:val="auto"/>
          <w:sz w:val="24"/>
        </w:rPr>
        <w:t>采购项目名称：</w:t>
      </w:r>
      <w:r>
        <w:rPr>
          <w:rFonts w:ascii="宋体" w:hAnsi="宋体" w:cs="宋体"/>
          <w:color w:val="auto"/>
          <w:sz w:val="24"/>
          <w:u w:val="single"/>
        </w:rPr>
        <w:t xml:space="preserve">                        </w:t>
      </w:r>
    </w:p>
    <w:p>
      <w:pPr>
        <w:topLinePunct/>
        <w:spacing w:line="300" w:lineRule="auto"/>
        <w:ind w:firstLine="480" w:firstLineChars="200"/>
        <w:jc w:val="left"/>
        <w:rPr>
          <w:rFonts w:ascii="宋体" w:cs="宋体"/>
          <w:color w:val="auto"/>
          <w:sz w:val="24"/>
        </w:rPr>
      </w:pPr>
      <w:r>
        <w:rPr>
          <w:rFonts w:hint="eastAsia" w:ascii="宋体" w:hAnsi="宋体" w:cs="宋体"/>
          <w:color w:val="auto"/>
          <w:sz w:val="24"/>
        </w:rPr>
        <w:t>采购项目编号：</w:t>
      </w:r>
      <w:r>
        <w:rPr>
          <w:rFonts w:ascii="宋体" w:hAnsi="宋体" w:cs="宋体"/>
          <w:color w:val="auto"/>
          <w:sz w:val="24"/>
          <w:u w:val="single"/>
        </w:rPr>
        <w:t xml:space="preserve">                        </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85" w:type="dxa"/>
          <w:bottom w:w="28" w:type="dxa"/>
          <w:right w:w="85" w:type="dxa"/>
        </w:tblCellMar>
      </w:tblPr>
      <w:tblGrid>
        <w:gridCol w:w="772"/>
        <w:gridCol w:w="1974"/>
        <w:gridCol w:w="1066"/>
        <w:gridCol w:w="1197"/>
        <w:gridCol w:w="1062"/>
        <w:gridCol w:w="923"/>
        <w:gridCol w:w="970"/>
        <w:gridCol w:w="1051"/>
      </w:tblGrid>
      <w:tr>
        <w:tblPrEx>
          <w:tblCellMar>
            <w:top w:w="28" w:type="dxa"/>
            <w:left w:w="85" w:type="dxa"/>
            <w:bottom w:w="28" w:type="dxa"/>
            <w:right w:w="85" w:type="dxa"/>
          </w:tblCellMar>
        </w:tblPrEx>
        <w:trPr>
          <w:trHeight w:val="510" w:hRule="atLeast"/>
          <w:jc w:val="center"/>
        </w:trPr>
        <w:tc>
          <w:tcPr>
            <w:tcW w:w="428" w:type="pct"/>
            <w:vAlign w:val="center"/>
          </w:tcPr>
          <w:p>
            <w:pPr>
              <w:topLinePunct/>
              <w:adjustRightInd w:val="0"/>
              <w:snapToGrid w:val="0"/>
              <w:spacing w:line="300" w:lineRule="auto"/>
              <w:jc w:val="center"/>
              <w:rPr>
                <w:rFonts w:ascii="宋体" w:hAnsi="宋体"/>
                <w:color w:val="auto"/>
                <w:szCs w:val="21"/>
              </w:rPr>
            </w:pPr>
            <w:r>
              <w:rPr>
                <w:rFonts w:hint="eastAsia" w:ascii="宋体" w:hAnsi="宋体"/>
                <w:color w:val="auto"/>
                <w:szCs w:val="21"/>
              </w:rPr>
              <w:t>序号</w:t>
            </w:r>
          </w:p>
        </w:tc>
        <w:tc>
          <w:tcPr>
            <w:tcW w:w="1095" w:type="pct"/>
            <w:vAlign w:val="center"/>
          </w:tcPr>
          <w:p>
            <w:pPr>
              <w:topLinePunct/>
              <w:adjustRightInd w:val="0"/>
              <w:snapToGrid w:val="0"/>
              <w:spacing w:line="300" w:lineRule="auto"/>
              <w:jc w:val="center"/>
              <w:rPr>
                <w:rFonts w:ascii="宋体" w:hAnsi="宋体"/>
                <w:color w:val="auto"/>
                <w:szCs w:val="21"/>
              </w:rPr>
            </w:pPr>
            <w:r>
              <w:rPr>
                <w:rFonts w:hint="eastAsia" w:ascii="宋体" w:hAnsi="宋体"/>
                <w:color w:val="auto"/>
                <w:szCs w:val="21"/>
              </w:rPr>
              <w:t>项目</w:t>
            </w:r>
          </w:p>
        </w:tc>
        <w:tc>
          <w:tcPr>
            <w:tcW w:w="591" w:type="pct"/>
            <w:vAlign w:val="center"/>
          </w:tcPr>
          <w:p>
            <w:pPr>
              <w:topLinePunct/>
              <w:adjustRightInd w:val="0"/>
              <w:snapToGrid w:val="0"/>
              <w:spacing w:line="300" w:lineRule="auto"/>
              <w:jc w:val="center"/>
              <w:rPr>
                <w:rFonts w:ascii="宋体" w:hAnsi="宋体"/>
                <w:color w:val="auto"/>
                <w:szCs w:val="21"/>
              </w:rPr>
            </w:pPr>
            <w:r>
              <w:rPr>
                <w:rFonts w:hint="eastAsia" w:ascii="宋体" w:hAnsi="宋体"/>
                <w:color w:val="auto"/>
                <w:szCs w:val="21"/>
              </w:rPr>
              <w:t>合同金额</w:t>
            </w:r>
          </w:p>
        </w:tc>
        <w:tc>
          <w:tcPr>
            <w:tcW w:w="664" w:type="pct"/>
            <w:vAlign w:val="center"/>
          </w:tcPr>
          <w:p>
            <w:pPr>
              <w:topLinePunct/>
              <w:adjustRightInd w:val="0"/>
              <w:snapToGrid w:val="0"/>
              <w:spacing w:line="300" w:lineRule="auto"/>
              <w:jc w:val="center"/>
              <w:rPr>
                <w:rFonts w:ascii="宋体" w:hAnsi="宋体"/>
                <w:color w:val="auto"/>
                <w:szCs w:val="21"/>
              </w:rPr>
            </w:pPr>
            <w:r>
              <w:rPr>
                <w:rFonts w:hint="eastAsia" w:ascii="宋体" w:hAnsi="宋体"/>
                <w:color w:val="auto"/>
                <w:szCs w:val="21"/>
              </w:rPr>
              <w:t>签约日期</w:t>
            </w:r>
          </w:p>
        </w:tc>
        <w:tc>
          <w:tcPr>
            <w:tcW w:w="589" w:type="pct"/>
            <w:vAlign w:val="center"/>
          </w:tcPr>
          <w:p>
            <w:pPr>
              <w:topLinePunct/>
              <w:adjustRightInd w:val="0"/>
              <w:snapToGrid w:val="0"/>
              <w:spacing w:line="300" w:lineRule="auto"/>
              <w:jc w:val="center"/>
              <w:rPr>
                <w:rFonts w:ascii="宋体" w:hAnsi="宋体"/>
                <w:color w:val="auto"/>
                <w:szCs w:val="21"/>
              </w:rPr>
            </w:pPr>
            <w:r>
              <w:rPr>
                <w:rFonts w:hint="eastAsia" w:ascii="宋体" w:hAnsi="宋体"/>
                <w:color w:val="auto"/>
                <w:szCs w:val="21"/>
              </w:rPr>
              <w:t>交货日期</w:t>
            </w:r>
          </w:p>
        </w:tc>
        <w:tc>
          <w:tcPr>
            <w:tcW w:w="512" w:type="pct"/>
            <w:vAlign w:val="center"/>
          </w:tcPr>
          <w:p>
            <w:pPr>
              <w:topLinePunct/>
              <w:adjustRightInd w:val="0"/>
              <w:snapToGrid w:val="0"/>
              <w:spacing w:line="300" w:lineRule="auto"/>
              <w:jc w:val="center"/>
              <w:rPr>
                <w:rFonts w:ascii="宋体" w:hAnsi="宋体"/>
                <w:color w:val="auto"/>
                <w:szCs w:val="21"/>
              </w:rPr>
            </w:pPr>
            <w:r>
              <w:rPr>
                <w:rFonts w:hint="eastAsia" w:ascii="宋体" w:hAnsi="宋体"/>
                <w:color w:val="auto"/>
                <w:szCs w:val="21"/>
              </w:rPr>
              <w:t>合同复印件</w:t>
            </w:r>
          </w:p>
        </w:tc>
        <w:tc>
          <w:tcPr>
            <w:tcW w:w="538" w:type="pct"/>
            <w:vAlign w:val="center"/>
          </w:tcPr>
          <w:p>
            <w:pPr>
              <w:topLinePunct/>
              <w:adjustRightInd w:val="0"/>
              <w:snapToGrid w:val="0"/>
              <w:spacing w:line="300" w:lineRule="auto"/>
              <w:jc w:val="center"/>
              <w:rPr>
                <w:rFonts w:ascii="宋体" w:hAnsi="宋体"/>
                <w:color w:val="auto"/>
                <w:szCs w:val="21"/>
              </w:rPr>
            </w:pPr>
            <w:r>
              <w:rPr>
                <w:rFonts w:hint="eastAsia" w:ascii="宋体" w:hAnsi="宋体"/>
                <w:color w:val="auto"/>
                <w:szCs w:val="21"/>
              </w:rPr>
              <w:t>业主方证明人</w:t>
            </w:r>
          </w:p>
        </w:tc>
        <w:tc>
          <w:tcPr>
            <w:tcW w:w="583" w:type="pct"/>
            <w:vAlign w:val="center"/>
          </w:tcPr>
          <w:p>
            <w:pPr>
              <w:topLinePunct/>
              <w:adjustRightInd w:val="0"/>
              <w:snapToGrid w:val="0"/>
              <w:spacing w:line="300" w:lineRule="auto"/>
              <w:jc w:val="center"/>
              <w:rPr>
                <w:rFonts w:ascii="宋体" w:hAnsi="宋体"/>
                <w:color w:val="auto"/>
                <w:szCs w:val="21"/>
              </w:rPr>
            </w:pPr>
            <w:r>
              <w:rPr>
                <w:rFonts w:hint="eastAsia" w:ascii="宋体" w:hAnsi="宋体"/>
                <w:color w:val="auto"/>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510" w:hRule="atLeast"/>
          <w:jc w:val="center"/>
        </w:trPr>
        <w:tc>
          <w:tcPr>
            <w:tcW w:w="428" w:type="pct"/>
            <w:vAlign w:val="center"/>
          </w:tcPr>
          <w:p>
            <w:pPr>
              <w:topLinePunct/>
              <w:adjustRightInd w:val="0"/>
              <w:snapToGrid w:val="0"/>
              <w:spacing w:line="300" w:lineRule="auto"/>
              <w:jc w:val="center"/>
              <w:rPr>
                <w:rFonts w:ascii="宋体" w:hAnsi="宋体"/>
                <w:color w:val="auto"/>
                <w:szCs w:val="21"/>
              </w:rPr>
            </w:pPr>
            <w:r>
              <w:rPr>
                <w:rFonts w:ascii="宋体" w:hAnsi="宋体"/>
                <w:color w:val="auto"/>
                <w:szCs w:val="21"/>
              </w:rPr>
              <w:t>1</w:t>
            </w:r>
          </w:p>
        </w:tc>
        <w:tc>
          <w:tcPr>
            <w:tcW w:w="1095" w:type="pct"/>
            <w:vAlign w:val="center"/>
          </w:tcPr>
          <w:p>
            <w:pPr>
              <w:topLinePunct/>
              <w:adjustRightInd w:val="0"/>
              <w:snapToGrid w:val="0"/>
              <w:spacing w:line="300" w:lineRule="auto"/>
              <w:jc w:val="center"/>
              <w:rPr>
                <w:rFonts w:ascii="宋体" w:hAnsi="宋体"/>
                <w:color w:val="auto"/>
                <w:szCs w:val="21"/>
              </w:rPr>
            </w:pPr>
          </w:p>
        </w:tc>
        <w:tc>
          <w:tcPr>
            <w:tcW w:w="591" w:type="pct"/>
            <w:vAlign w:val="center"/>
          </w:tcPr>
          <w:p>
            <w:pPr>
              <w:topLinePunct/>
              <w:adjustRightInd w:val="0"/>
              <w:snapToGrid w:val="0"/>
              <w:spacing w:line="300" w:lineRule="auto"/>
              <w:jc w:val="center"/>
              <w:rPr>
                <w:rFonts w:ascii="宋体" w:hAnsi="宋体"/>
                <w:color w:val="auto"/>
                <w:szCs w:val="21"/>
              </w:rPr>
            </w:pPr>
          </w:p>
        </w:tc>
        <w:tc>
          <w:tcPr>
            <w:tcW w:w="664" w:type="pct"/>
            <w:vAlign w:val="center"/>
          </w:tcPr>
          <w:p>
            <w:pPr>
              <w:topLinePunct/>
              <w:adjustRightInd w:val="0"/>
              <w:snapToGrid w:val="0"/>
              <w:spacing w:line="300" w:lineRule="auto"/>
              <w:jc w:val="center"/>
              <w:rPr>
                <w:rFonts w:ascii="宋体" w:hAnsi="宋体"/>
                <w:color w:val="auto"/>
                <w:szCs w:val="21"/>
              </w:rPr>
            </w:pPr>
          </w:p>
        </w:tc>
        <w:tc>
          <w:tcPr>
            <w:tcW w:w="589" w:type="pct"/>
            <w:vAlign w:val="center"/>
          </w:tcPr>
          <w:p>
            <w:pPr>
              <w:topLinePunct/>
              <w:adjustRightInd w:val="0"/>
              <w:snapToGrid w:val="0"/>
              <w:spacing w:line="300" w:lineRule="auto"/>
              <w:jc w:val="center"/>
              <w:rPr>
                <w:rFonts w:ascii="宋体" w:hAnsi="宋体"/>
                <w:color w:val="auto"/>
                <w:szCs w:val="21"/>
              </w:rPr>
            </w:pPr>
          </w:p>
        </w:tc>
        <w:tc>
          <w:tcPr>
            <w:tcW w:w="512" w:type="pct"/>
            <w:vAlign w:val="center"/>
          </w:tcPr>
          <w:p>
            <w:pPr>
              <w:topLinePunct/>
              <w:adjustRightInd w:val="0"/>
              <w:snapToGrid w:val="0"/>
              <w:spacing w:line="300" w:lineRule="auto"/>
              <w:jc w:val="center"/>
              <w:rPr>
                <w:rFonts w:ascii="宋体" w:hAnsi="宋体"/>
                <w:color w:val="auto"/>
                <w:szCs w:val="21"/>
              </w:rPr>
            </w:pPr>
          </w:p>
        </w:tc>
        <w:tc>
          <w:tcPr>
            <w:tcW w:w="538" w:type="pct"/>
            <w:vAlign w:val="center"/>
          </w:tcPr>
          <w:p>
            <w:pPr>
              <w:topLinePunct/>
              <w:adjustRightInd w:val="0"/>
              <w:snapToGrid w:val="0"/>
              <w:spacing w:line="300" w:lineRule="auto"/>
              <w:jc w:val="center"/>
              <w:rPr>
                <w:rFonts w:ascii="宋体" w:hAnsi="宋体"/>
                <w:color w:val="auto"/>
                <w:szCs w:val="21"/>
              </w:rPr>
            </w:pPr>
          </w:p>
        </w:tc>
        <w:tc>
          <w:tcPr>
            <w:tcW w:w="583" w:type="pct"/>
            <w:vAlign w:val="center"/>
          </w:tcPr>
          <w:p>
            <w:pPr>
              <w:topLinePunct/>
              <w:adjustRightInd w:val="0"/>
              <w:snapToGrid w:val="0"/>
              <w:spacing w:line="300" w:lineRule="auto"/>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510" w:hRule="atLeast"/>
          <w:jc w:val="center"/>
        </w:trPr>
        <w:tc>
          <w:tcPr>
            <w:tcW w:w="428" w:type="pct"/>
            <w:vAlign w:val="center"/>
          </w:tcPr>
          <w:p>
            <w:pPr>
              <w:topLinePunct/>
              <w:adjustRightInd w:val="0"/>
              <w:snapToGrid w:val="0"/>
              <w:spacing w:line="300" w:lineRule="auto"/>
              <w:jc w:val="center"/>
              <w:rPr>
                <w:rFonts w:ascii="宋体" w:hAnsi="宋体"/>
                <w:color w:val="auto"/>
                <w:szCs w:val="21"/>
              </w:rPr>
            </w:pPr>
            <w:r>
              <w:rPr>
                <w:rFonts w:ascii="宋体" w:hAnsi="宋体"/>
                <w:color w:val="auto"/>
                <w:szCs w:val="21"/>
              </w:rPr>
              <w:t>2</w:t>
            </w:r>
          </w:p>
        </w:tc>
        <w:tc>
          <w:tcPr>
            <w:tcW w:w="1095" w:type="pct"/>
            <w:vAlign w:val="center"/>
          </w:tcPr>
          <w:p>
            <w:pPr>
              <w:topLinePunct/>
              <w:adjustRightInd w:val="0"/>
              <w:snapToGrid w:val="0"/>
              <w:spacing w:line="300" w:lineRule="auto"/>
              <w:jc w:val="center"/>
              <w:rPr>
                <w:rFonts w:ascii="宋体" w:hAnsi="宋体"/>
                <w:color w:val="auto"/>
                <w:szCs w:val="21"/>
              </w:rPr>
            </w:pPr>
          </w:p>
        </w:tc>
        <w:tc>
          <w:tcPr>
            <w:tcW w:w="591" w:type="pct"/>
            <w:vAlign w:val="center"/>
          </w:tcPr>
          <w:p>
            <w:pPr>
              <w:topLinePunct/>
              <w:adjustRightInd w:val="0"/>
              <w:snapToGrid w:val="0"/>
              <w:spacing w:line="300" w:lineRule="auto"/>
              <w:jc w:val="center"/>
              <w:rPr>
                <w:rFonts w:ascii="宋体" w:hAnsi="宋体"/>
                <w:color w:val="auto"/>
                <w:szCs w:val="21"/>
              </w:rPr>
            </w:pPr>
          </w:p>
        </w:tc>
        <w:tc>
          <w:tcPr>
            <w:tcW w:w="664" w:type="pct"/>
            <w:vAlign w:val="center"/>
          </w:tcPr>
          <w:p>
            <w:pPr>
              <w:topLinePunct/>
              <w:adjustRightInd w:val="0"/>
              <w:snapToGrid w:val="0"/>
              <w:spacing w:line="300" w:lineRule="auto"/>
              <w:jc w:val="center"/>
              <w:rPr>
                <w:rFonts w:ascii="宋体" w:hAnsi="宋体"/>
                <w:color w:val="auto"/>
                <w:szCs w:val="21"/>
              </w:rPr>
            </w:pPr>
          </w:p>
        </w:tc>
        <w:tc>
          <w:tcPr>
            <w:tcW w:w="589" w:type="pct"/>
            <w:vAlign w:val="center"/>
          </w:tcPr>
          <w:p>
            <w:pPr>
              <w:topLinePunct/>
              <w:adjustRightInd w:val="0"/>
              <w:snapToGrid w:val="0"/>
              <w:spacing w:line="300" w:lineRule="auto"/>
              <w:jc w:val="center"/>
              <w:rPr>
                <w:rFonts w:ascii="宋体" w:hAnsi="宋体"/>
                <w:color w:val="auto"/>
                <w:szCs w:val="21"/>
              </w:rPr>
            </w:pPr>
          </w:p>
        </w:tc>
        <w:tc>
          <w:tcPr>
            <w:tcW w:w="512" w:type="pct"/>
            <w:vAlign w:val="center"/>
          </w:tcPr>
          <w:p>
            <w:pPr>
              <w:topLinePunct/>
              <w:adjustRightInd w:val="0"/>
              <w:snapToGrid w:val="0"/>
              <w:spacing w:line="300" w:lineRule="auto"/>
              <w:jc w:val="center"/>
              <w:rPr>
                <w:rFonts w:ascii="宋体" w:hAnsi="宋体"/>
                <w:color w:val="auto"/>
                <w:szCs w:val="21"/>
              </w:rPr>
            </w:pPr>
          </w:p>
        </w:tc>
        <w:tc>
          <w:tcPr>
            <w:tcW w:w="538" w:type="pct"/>
            <w:vAlign w:val="center"/>
          </w:tcPr>
          <w:p>
            <w:pPr>
              <w:topLinePunct/>
              <w:adjustRightInd w:val="0"/>
              <w:snapToGrid w:val="0"/>
              <w:spacing w:line="300" w:lineRule="auto"/>
              <w:jc w:val="center"/>
              <w:rPr>
                <w:rFonts w:ascii="宋体" w:hAnsi="宋体"/>
                <w:color w:val="auto"/>
                <w:szCs w:val="21"/>
              </w:rPr>
            </w:pPr>
          </w:p>
        </w:tc>
        <w:tc>
          <w:tcPr>
            <w:tcW w:w="583" w:type="pct"/>
            <w:vAlign w:val="center"/>
          </w:tcPr>
          <w:p>
            <w:pPr>
              <w:topLinePunct/>
              <w:adjustRightInd w:val="0"/>
              <w:snapToGrid w:val="0"/>
              <w:spacing w:line="300" w:lineRule="auto"/>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510" w:hRule="atLeast"/>
          <w:jc w:val="center"/>
        </w:trPr>
        <w:tc>
          <w:tcPr>
            <w:tcW w:w="428" w:type="pct"/>
            <w:vAlign w:val="center"/>
          </w:tcPr>
          <w:p>
            <w:pPr>
              <w:topLinePunct/>
              <w:adjustRightInd w:val="0"/>
              <w:snapToGrid w:val="0"/>
              <w:spacing w:line="300" w:lineRule="auto"/>
              <w:jc w:val="center"/>
              <w:rPr>
                <w:rFonts w:ascii="宋体" w:hAnsi="宋体"/>
                <w:color w:val="auto"/>
                <w:szCs w:val="21"/>
              </w:rPr>
            </w:pPr>
            <w:r>
              <w:rPr>
                <w:rFonts w:ascii="宋体" w:hAnsi="宋体"/>
                <w:color w:val="auto"/>
                <w:szCs w:val="21"/>
              </w:rPr>
              <w:t>3</w:t>
            </w:r>
          </w:p>
        </w:tc>
        <w:tc>
          <w:tcPr>
            <w:tcW w:w="1095" w:type="pct"/>
            <w:vAlign w:val="center"/>
          </w:tcPr>
          <w:p>
            <w:pPr>
              <w:topLinePunct/>
              <w:adjustRightInd w:val="0"/>
              <w:snapToGrid w:val="0"/>
              <w:spacing w:line="300" w:lineRule="auto"/>
              <w:jc w:val="center"/>
              <w:rPr>
                <w:rFonts w:ascii="宋体" w:hAnsi="宋体"/>
                <w:color w:val="auto"/>
                <w:szCs w:val="21"/>
              </w:rPr>
            </w:pPr>
          </w:p>
        </w:tc>
        <w:tc>
          <w:tcPr>
            <w:tcW w:w="591" w:type="pct"/>
            <w:vAlign w:val="center"/>
          </w:tcPr>
          <w:p>
            <w:pPr>
              <w:topLinePunct/>
              <w:adjustRightInd w:val="0"/>
              <w:snapToGrid w:val="0"/>
              <w:spacing w:line="300" w:lineRule="auto"/>
              <w:jc w:val="center"/>
              <w:rPr>
                <w:rFonts w:ascii="宋体" w:hAnsi="宋体"/>
                <w:color w:val="auto"/>
                <w:szCs w:val="21"/>
              </w:rPr>
            </w:pPr>
          </w:p>
        </w:tc>
        <w:tc>
          <w:tcPr>
            <w:tcW w:w="664" w:type="pct"/>
            <w:vAlign w:val="center"/>
          </w:tcPr>
          <w:p>
            <w:pPr>
              <w:topLinePunct/>
              <w:adjustRightInd w:val="0"/>
              <w:snapToGrid w:val="0"/>
              <w:spacing w:line="300" w:lineRule="auto"/>
              <w:jc w:val="center"/>
              <w:rPr>
                <w:rFonts w:ascii="宋体" w:hAnsi="宋体"/>
                <w:color w:val="auto"/>
                <w:szCs w:val="21"/>
              </w:rPr>
            </w:pPr>
          </w:p>
        </w:tc>
        <w:tc>
          <w:tcPr>
            <w:tcW w:w="589" w:type="pct"/>
            <w:vAlign w:val="center"/>
          </w:tcPr>
          <w:p>
            <w:pPr>
              <w:topLinePunct/>
              <w:adjustRightInd w:val="0"/>
              <w:snapToGrid w:val="0"/>
              <w:spacing w:line="300" w:lineRule="auto"/>
              <w:jc w:val="center"/>
              <w:rPr>
                <w:rFonts w:ascii="宋体" w:hAnsi="宋体"/>
                <w:color w:val="auto"/>
                <w:szCs w:val="21"/>
              </w:rPr>
            </w:pPr>
          </w:p>
        </w:tc>
        <w:tc>
          <w:tcPr>
            <w:tcW w:w="512" w:type="pct"/>
            <w:vAlign w:val="center"/>
          </w:tcPr>
          <w:p>
            <w:pPr>
              <w:topLinePunct/>
              <w:adjustRightInd w:val="0"/>
              <w:snapToGrid w:val="0"/>
              <w:spacing w:line="300" w:lineRule="auto"/>
              <w:jc w:val="center"/>
              <w:rPr>
                <w:rFonts w:ascii="宋体" w:hAnsi="宋体"/>
                <w:color w:val="auto"/>
                <w:szCs w:val="21"/>
              </w:rPr>
            </w:pPr>
          </w:p>
        </w:tc>
        <w:tc>
          <w:tcPr>
            <w:tcW w:w="538" w:type="pct"/>
            <w:vAlign w:val="center"/>
          </w:tcPr>
          <w:p>
            <w:pPr>
              <w:topLinePunct/>
              <w:adjustRightInd w:val="0"/>
              <w:snapToGrid w:val="0"/>
              <w:spacing w:line="300" w:lineRule="auto"/>
              <w:jc w:val="center"/>
              <w:rPr>
                <w:rFonts w:ascii="宋体" w:hAnsi="宋体"/>
                <w:color w:val="auto"/>
                <w:szCs w:val="21"/>
              </w:rPr>
            </w:pPr>
          </w:p>
        </w:tc>
        <w:tc>
          <w:tcPr>
            <w:tcW w:w="583" w:type="pct"/>
            <w:vAlign w:val="center"/>
          </w:tcPr>
          <w:p>
            <w:pPr>
              <w:topLinePunct/>
              <w:adjustRightInd w:val="0"/>
              <w:snapToGrid w:val="0"/>
              <w:spacing w:line="300" w:lineRule="auto"/>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510" w:hRule="atLeast"/>
          <w:jc w:val="center"/>
        </w:trPr>
        <w:tc>
          <w:tcPr>
            <w:tcW w:w="428" w:type="pct"/>
            <w:vAlign w:val="center"/>
          </w:tcPr>
          <w:p>
            <w:pPr>
              <w:topLinePunct/>
              <w:adjustRightInd w:val="0"/>
              <w:snapToGrid w:val="0"/>
              <w:spacing w:line="300" w:lineRule="auto"/>
              <w:jc w:val="center"/>
              <w:rPr>
                <w:rFonts w:ascii="宋体" w:hAnsi="宋体"/>
                <w:color w:val="auto"/>
                <w:szCs w:val="21"/>
              </w:rPr>
            </w:pPr>
            <w:r>
              <w:rPr>
                <w:rFonts w:ascii="宋体" w:hAnsi="宋体"/>
                <w:color w:val="auto"/>
                <w:szCs w:val="21"/>
              </w:rPr>
              <w:t>4</w:t>
            </w:r>
          </w:p>
        </w:tc>
        <w:tc>
          <w:tcPr>
            <w:tcW w:w="1095" w:type="pct"/>
            <w:vAlign w:val="center"/>
          </w:tcPr>
          <w:p>
            <w:pPr>
              <w:topLinePunct/>
              <w:adjustRightInd w:val="0"/>
              <w:snapToGrid w:val="0"/>
              <w:spacing w:line="300" w:lineRule="auto"/>
              <w:jc w:val="center"/>
              <w:rPr>
                <w:rFonts w:ascii="宋体" w:hAnsi="宋体"/>
                <w:color w:val="auto"/>
                <w:szCs w:val="21"/>
              </w:rPr>
            </w:pPr>
          </w:p>
        </w:tc>
        <w:tc>
          <w:tcPr>
            <w:tcW w:w="591" w:type="pct"/>
            <w:vAlign w:val="center"/>
          </w:tcPr>
          <w:p>
            <w:pPr>
              <w:topLinePunct/>
              <w:adjustRightInd w:val="0"/>
              <w:snapToGrid w:val="0"/>
              <w:spacing w:line="300" w:lineRule="auto"/>
              <w:jc w:val="center"/>
              <w:rPr>
                <w:rFonts w:ascii="宋体" w:hAnsi="宋体"/>
                <w:color w:val="auto"/>
                <w:szCs w:val="21"/>
              </w:rPr>
            </w:pPr>
          </w:p>
        </w:tc>
        <w:tc>
          <w:tcPr>
            <w:tcW w:w="664" w:type="pct"/>
            <w:vAlign w:val="center"/>
          </w:tcPr>
          <w:p>
            <w:pPr>
              <w:topLinePunct/>
              <w:adjustRightInd w:val="0"/>
              <w:snapToGrid w:val="0"/>
              <w:spacing w:line="300" w:lineRule="auto"/>
              <w:jc w:val="center"/>
              <w:rPr>
                <w:rFonts w:ascii="宋体" w:hAnsi="宋体"/>
                <w:color w:val="auto"/>
                <w:szCs w:val="21"/>
              </w:rPr>
            </w:pPr>
          </w:p>
        </w:tc>
        <w:tc>
          <w:tcPr>
            <w:tcW w:w="589" w:type="pct"/>
            <w:vAlign w:val="center"/>
          </w:tcPr>
          <w:p>
            <w:pPr>
              <w:topLinePunct/>
              <w:adjustRightInd w:val="0"/>
              <w:snapToGrid w:val="0"/>
              <w:spacing w:line="300" w:lineRule="auto"/>
              <w:jc w:val="center"/>
              <w:rPr>
                <w:rFonts w:ascii="宋体" w:hAnsi="宋体"/>
                <w:color w:val="auto"/>
                <w:szCs w:val="21"/>
              </w:rPr>
            </w:pPr>
          </w:p>
        </w:tc>
        <w:tc>
          <w:tcPr>
            <w:tcW w:w="512" w:type="pct"/>
            <w:vAlign w:val="center"/>
          </w:tcPr>
          <w:p>
            <w:pPr>
              <w:topLinePunct/>
              <w:adjustRightInd w:val="0"/>
              <w:snapToGrid w:val="0"/>
              <w:spacing w:line="300" w:lineRule="auto"/>
              <w:jc w:val="center"/>
              <w:rPr>
                <w:rFonts w:ascii="宋体" w:hAnsi="宋体"/>
                <w:color w:val="auto"/>
                <w:szCs w:val="21"/>
              </w:rPr>
            </w:pPr>
          </w:p>
        </w:tc>
        <w:tc>
          <w:tcPr>
            <w:tcW w:w="538" w:type="pct"/>
            <w:vAlign w:val="center"/>
          </w:tcPr>
          <w:p>
            <w:pPr>
              <w:topLinePunct/>
              <w:adjustRightInd w:val="0"/>
              <w:snapToGrid w:val="0"/>
              <w:spacing w:line="300" w:lineRule="auto"/>
              <w:jc w:val="center"/>
              <w:rPr>
                <w:rFonts w:ascii="宋体" w:hAnsi="宋体"/>
                <w:color w:val="auto"/>
                <w:szCs w:val="21"/>
              </w:rPr>
            </w:pPr>
          </w:p>
        </w:tc>
        <w:tc>
          <w:tcPr>
            <w:tcW w:w="583" w:type="pct"/>
            <w:vAlign w:val="center"/>
          </w:tcPr>
          <w:p>
            <w:pPr>
              <w:topLinePunct/>
              <w:adjustRightInd w:val="0"/>
              <w:snapToGrid w:val="0"/>
              <w:spacing w:line="300" w:lineRule="auto"/>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510" w:hRule="atLeast"/>
          <w:jc w:val="center"/>
        </w:trPr>
        <w:tc>
          <w:tcPr>
            <w:tcW w:w="428" w:type="pct"/>
            <w:vAlign w:val="center"/>
          </w:tcPr>
          <w:p>
            <w:pPr>
              <w:topLinePunct/>
              <w:adjustRightInd w:val="0"/>
              <w:snapToGrid w:val="0"/>
              <w:spacing w:line="300" w:lineRule="auto"/>
              <w:jc w:val="center"/>
              <w:rPr>
                <w:rFonts w:ascii="宋体" w:hAnsi="宋体"/>
                <w:color w:val="auto"/>
                <w:szCs w:val="21"/>
              </w:rPr>
            </w:pPr>
            <w:r>
              <w:rPr>
                <w:rFonts w:ascii="宋体" w:hAnsi="宋体"/>
                <w:color w:val="auto"/>
                <w:szCs w:val="21"/>
              </w:rPr>
              <w:t>5</w:t>
            </w:r>
          </w:p>
        </w:tc>
        <w:tc>
          <w:tcPr>
            <w:tcW w:w="1095" w:type="pct"/>
            <w:vAlign w:val="center"/>
          </w:tcPr>
          <w:p>
            <w:pPr>
              <w:topLinePunct/>
              <w:adjustRightInd w:val="0"/>
              <w:snapToGrid w:val="0"/>
              <w:spacing w:line="300" w:lineRule="auto"/>
              <w:jc w:val="center"/>
              <w:rPr>
                <w:rFonts w:ascii="宋体" w:hAnsi="宋体"/>
                <w:color w:val="auto"/>
                <w:szCs w:val="21"/>
              </w:rPr>
            </w:pPr>
          </w:p>
        </w:tc>
        <w:tc>
          <w:tcPr>
            <w:tcW w:w="591" w:type="pct"/>
            <w:vAlign w:val="center"/>
          </w:tcPr>
          <w:p>
            <w:pPr>
              <w:topLinePunct/>
              <w:adjustRightInd w:val="0"/>
              <w:snapToGrid w:val="0"/>
              <w:spacing w:line="300" w:lineRule="auto"/>
              <w:jc w:val="center"/>
              <w:rPr>
                <w:rFonts w:ascii="宋体" w:hAnsi="宋体"/>
                <w:color w:val="auto"/>
                <w:szCs w:val="21"/>
              </w:rPr>
            </w:pPr>
          </w:p>
        </w:tc>
        <w:tc>
          <w:tcPr>
            <w:tcW w:w="664" w:type="pct"/>
            <w:vAlign w:val="center"/>
          </w:tcPr>
          <w:p>
            <w:pPr>
              <w:topLinePunct/>
              <w:adjustRightInd w:val="0"/>
              <w:snapToGrid w:val="0"/>
              <w:spacing w:line="300" w:lineRule="auto"/>
              <w:jc w:val="center"/>
              <w:rPr>
                <w:rFonts w:ascii="宋体" w:hAnsi="宋体"/>
                <w:color w:val="auto"/>
                <w:szCs w:val="21"/>
              </w:rPr>
            </w:pPr>
          </w:p>
        </w:tc>
        <w:tc>
          <w:tcPr>
            <w:tcW w:w="589" w:type="pct"/>
            <w:vAlign w:val="center"/>
          </w:tcPr>
          <w:p>
            <w:pPr>
              <w:topLinePunct/>
              <w:adjustRightInd w:val="0"/>
              <w:snapToGrid w:val="0"/>
              <w:spacing w:line="300" w:lineRule="auto"/>
              <w:jc w:val="center"/>
              <w:rPr>
                <w:rFonts w:ascii="宋体" w:hAnsi="宋体"/>
                <w:color w:val="auto"/>
                <w:szCs w:val="21"/>
              </w:rPr>
            </w:pPr>
          </w:p>
        </w:tc>
        <w:tc>
          <w:tcPr>
            <w:tcW w:w="512" w:type="pct"/>
            <w:vAlign w:val="center"/>
          </w:tcPr>
          <w:p>
            <w:pPr>
              <w:topLinePunct/>
              <w:adjustRightInd w:val="0"/>
              <w:snapToGrid w:val="0"/>
              <w:spacing w:line="300" w:lineRule="auto"/>
              <w:jc w:val="center"/>
              <w:rPr>
                <w:rFonts w:ascii="宋体" w:hAnsi="宋体"/>
                <w:color w:val="auto"/>
                <w:szCs w:val="21"/>
              </w:rPr>
            </w:pPr>
          </w:p>
        </w:tc>
        <w:tc>
          <w:tcPr>
            <w:tcW w:w="538" w:type="pct"/>
            <w:vAlign w:val="center"/>
          </w:tcPr>
          <w:p>
            <w:pPr>
              <w:topLinePunct/>
              <w:adjustRightInd w:val="0"/>
              <w:snapToGrid w:val="0"/>
              <w:spacing w:line="300" w:lineRule="auto"/>
              <w:jc w:val="center"/>
              <w:rPr>
                <w:rFonts w:ascii="宋体" w:hAnsi="宋体"/>
                <w:color w:val="auto"/>
                <w:szCs w:val="21"/>
              </w:rPr>
            </w:pPr>
          </w:p>
        </w:tc>
        <w:tc>
          <w:tcPr>
            <w:tcW w:w="583" w:type="pct"/>
            <w:vAlign w:val="center"/>
          </w:tcPr>
          <w:p>
            <w:pPr>
              <w:topLinePunct/>
              <w:adjustRightInd w:val="0"/>
              <w:snapToGrid w:val="0"/>
              <w:spacing w:line="300" w:lineRule="auto"/>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510" w:hRule="atLeast"/>
          <w:jc w:val="center"/>
        </w:trPr>
        <w:tc>
          <w:tcPr>
            <w:tcW w:w="428" w:type="pct"/>
            <w:vAlign w:val="center"/>
          </w:tcPr>
          <w:p>
            <w:pPr>
              <w:topLinePunct/>
              <w:adjustRightInd w:val="0"/>
              <w:snapToGrid w:val="0"/>
              <w:spacing w:line="300" w:lineRule="auto"/>
              <w:jc w:val="center"/>
              <w:rPr>
                <w:rFonts w:ascii="宋体" w:hAnsi="宋体"/>
                <w:color w:val="auto"/>
                <w:szCs w:val="21"/>
              </w:rPr>
            </w:pPr>
            <w:r>
              <w:rPr>
                <w:rFonts w:hint="eastAsia" w:ascii="宋体" w:hAnsi="宋体"/>
                <w:color w:val="auto"/>
                <w:szCs w:val="21"/>
              </w:rPr>
              <w:t>…</w:t>
            </w:r>
          </w:p>
        </w:tc>
        <w:tc>
          <w:tcPr>
            <w:tcW w:w="1095" w:type="pct"/>
            <w:vAlign w:val="center"/>
          </w:tcPr>
          <w:p>
            <w:pPr>
              <w:topLinePunct/>
              <w:adjustRightInd w:val="0"/>
              <w:snapToGrid w:val="0"/>
              <w:spacing w:line="300" w:lineRule="auto"/>
              <w:jc w:val="center"/>
              <w:rPr>
                <w:rFonts w:ascii="宋体" w:hAnsi="宋体"/>
                <w:color w:val="auto"/>
                <w:szCs w:val="21"/>
              </w:rPr>
            </w:pPr>
          </w:p>
        </w:tc>
        <w:tc>
          <w:tcPr>
            <w:tcW w:w="591" w:type="pct"/>
            <w:vAlign w:val="center"/>
          </w:tcPr>
          <w:p>
            <w:pPr>
              <w:topLinePunct/>
              <w:adjustRightInd w:val="0"/>
              <w:snapToGrid w:val="0"/>
              <w:spacing w:line="300" w:lineRule="auto"/>
              <w:jc w:val="center"/>
              <w:rPr>
                <w:rFonts w:ascii="宋体" w:hAnsi="宋体"/>
                <w:color w:val="auto"/>
                <w:szCs w:val="21"/>
              </w:rPr>
            </w:pPr>
          </w:p>
        </w:tc>
        <w:tc>
          <w:tcPr>
            <w:tcW w:w="664" w:type="pct"/>
            <w:vAlign w:val="center"/>
          </w:tcPr>
          <w:p>
            <w:pPr>
              <w:topLinePunct/>
              <w:adjustRightInd w:val="0"/>
              <w:snapToGrid w:val="0"/>
              <w:spacing w:line="300" w:lineRule="auto"/>
              <w:jc w:val="center"/>
              <w:rPr>
                <w:rFonts w:ascii="宋体" w:hAnsi="宋体"/>
                <w:color w:val="auto"/>
                <w:szCs w:val="21"/>
              </w:rPr>
            </w:pPr>
          </w:p>
        </w:tc>
        <w:tc>
          <w:tcPr>
            <w:tcW w:w="589" w:type="pct"/>
            <w:vAlign w:val="center"/>
          </w:tcPr>
          <w:p>
            <w:pPr>
              <w:topLinePunct/>
              <w:adjustRightInd w:val="0"/>
              <w:snapToGrid w:val="0"/>
              <w:spacing w:line="300" w:lineRule="auto"/>
              <w:jc w:val="center"/>
              <w:rPr>
                <w:rFonts w:ascii="宋体" w:hAnsi="宋体"/>
                <w:color w:val="auto"/>
                <w:szCs w:val="21"/>
              </w:rPr>
            </w:pPr>
          </w:p>
        </w:tc>
        <w:tc>
          <w:tcPr>
            <w:tcW w:w="512" w:type="pct"/>
            <w:vAlign w:val="center"/>
          </w:tcPr>
          <w:p>
            <w:pPr>
              <w:topLinePunct/>
              <w:adjustRightInd w:val="0"/>
              <w:snapToGrid w:val="0"/>
              <w:spacing w:line="300" w:lineRule="auto"/>
              <w:jc w:val="center"/>
              <w:rPr>
                <w:rFonts w:ascii="宋体" w:hAnsi="宋体"/>
                <w:color w:val="auto"/>
                <w:szCs w:val="21"/>
              </w:rPr>
            </w:pPr>
          </w:p>
        </w:tc>
        <w:tc>
          <w:tcPr>
            <w:tcW w:w="538" w:type="pct"/>
            <w:vAlign w:val="center"/>
          </w:tcPr>
          <w:p>
            <w:pPr>
              <w:topLinePunct/>
              <w:adjustRightInd w:val="0"/>
              <w:snapToGrid w:val="0"/>
              <w:spacing w:line="300" w:lineRule="auto"/>
              <w:jc w:val="center"/>
              <w:rPr>
                <w:rFonts w:ascii="宋体" w:hAnsi="宋体"/>
                <w:color w:val="auto"/>
                <w:szCs w:val="21"/>
              </w:rPr>
            </w:pPr>
          </w:p>
        </w:tc>
        <w:tc>
          <w:tcPr>
            <w:tcW w:w="583" w:type="pct"/>
            <w:vAlign w:val="center"/>
          </w:tcPr>
          <w:p>
            <w:pPr>
              <w:topLinePunct/>
              <w:adjustRightInd w:val="0"/>
              <w:snapToGrid w:val="0"/>
              <w:spacing w:line="300" w:lineRule="auto"/>
              <w:jc w:val="center"/>
              <w:rPr>
                <w:rFonts w:ascii="宋体" w:hAnsi="宋体"/>
                <w:color w:val="auto"/>
                <w:szCs w:val="21"/>
              </w:rPr>
            </w:pPr>
          </w:p>
        </w:tc>
      </w:tr>
    </w:tbl>
    <w:p>
      <w:pPr>
        <w:topLinePunct/>
        <w:spacing w:line="300" w:lineRule="auto"/>
        <w:ind w:firstLine="480" w:firstLineChars="200"/>
        <w:rPr>
          <w:rFonts w:ascii="宋体" w:cs="宋体"/>
          <w:color w:val="auto"/>
          <w:sz w:val="24"/>
        </w:rPr>
      </w:pPr>
      <w:bookmarkStart w:id="4" w:name="_Hlk515184543"/>
      <w:r>
        <w:rPr>
          <w:rFonts w:hint="eastAsia" w:ascii="宋体" w:hAnsi="宋体" w:cs="宋体"/>
          <w:color w:val="auto"/>
          <w:sz w:val="24"/>
        </w:rPr>
        <w:t>注：业绩须提供相关合同证明材料。</w:t>
      </w:r>
    </w:p>
    <w:bookmarkEnd w:id="4"/>
    <w:p>
      <w:pPr>
        <w:topLinePunct/>
        <w:spacing w:line="300" w:lineRule="auto"/>
        <w:ind w:firstLine="480" w:firstLineChars="200"/>
        <w:rPr>
          <w:rFonts w:ascii="宋体" w:cs="宋体"/>
          <w:color w:val="auto"/>
          <w:sz w:val="24"/>
        </w:rPr>
      </w:pPr>
    </w:p>
    <w:p>
      <w:pPr>
        <w:topLinePunct/>
        <w:spacing w:line="300" w:lineRule="auto"/>
        <w:ind w:firstLine="480"/>
        <w:rPr>
          <w:rFonts w:ascii="宋体" w:cs="宋体"/>
          <w:color w:val="auto"/>
          <w:sz w:val="24"/>
        </w:rPr>
      </w:pPr>
      <w:r>
        <w:rPr>
          <w:rFonts w:hint="eastAsia" w:ascii="宋体" w:hAnsi="宋体"/>
          <w:color w:val="auto"/>
          <w:sz w:val="24"/>
          <w:szCs w:val="24"/>
        </w:rPr>
        <w:t>供应商</w:t>
      </w:r>
      <w:r>
        <w:rPr>
          <w:rFonts w:hint="eastAsia" w:ascii="宋体" w:hAnsi="宋体" w:cs="宋体"/>
          <w:color w:val="auto"/>
          <w:sz w:val="24"/>
        </w:rPr>
        <w:t>单位（签章）：</w:t>
      </w:r>
      <w:r>
        <w:rPr>
          <w:rFonts w:ascii="宋体" w:hAnsi="宋体" w:cs="宋体"/>
          <w:color w:val="auto"/>
          <w:sz w:val="24"/>
          <w:u w:val="single"/>
        </w:rPr>
        <w:t xml:space="preserve">                                               </w:t>
      </w:r>
    </w:p>
    <w:p>
      <w:pPr>
        <w:topLinePunct/>
        <w:spacing w:line="300" w:lineRule="auto"/>
        <w:ind w:firstLine="480"/>
        <w:rPr>
          <w:rFonts w:ascii="宋体" w:cs="宋体"/>
          <w:color w:val="auto"/>
          <w:sz w:val="24"/>
        </w:rPr>
      </w:pPr>
    </w:p>
    <w:p>
      <w:pPr>
        <w:topLinePunct/>
        <w:spacing w:line="300" w:lineRule="auto"/>
        <w:ind w:firstLine="480"/>
        <w:rPr>
          <w:rFonts w:ascii="宋体" w:hAnsi="宋体" w:cs="宋体"/>
          <w:color w:val="auto"/>
          <w:sz w:val="24"/>
          <w:u w:val="single"/>
        </w:rPr>
      </w:pPr>
      <w:r>
        <w:rPr>
          <w:rFonts w:hint="eastAsia" w:ascii="宋体" w:hAnsi="宋体" w:cs="宋体"/>
          <w:color w:val="auto"/>
          <w:sz w:val="24"/>
        </w:rPr>
        <w:t>法定代表人或法定代表人授权代表签字：</w:t>
      </w:r>
      <w:r>
        <w:rPr>
          <w:rFonts w:ascii="宋体" w:hAnsi="宋体" w:cs="宋体"/>
          <w:color w:val="auto"/>
          <w:sz w:val="24"/>
          <w:u w:val="single"/>
        </w:rPr>
        <w:t xml:space="preserve">                            </w:t>
      </w:r>
    </w:p>
    <w:p>
      <w:pPr>
        <w:widowControl/>
        <w:jc w:val="left"/>
        <w:rPr>
          <w:rFonts w:ascii="Times New Roman" w:hAnsi="Times New Roman" w:cs="Times New Roman"/>
          <w:color w:val="auto"/>
          <w:sz w:val="24"/>
          <w:szCs w:val="24"/>
        </w:rPr>
      </w:pPr>
      <w:r>
        <w:rPr>
          <w:rFonts w:ascii="宋体" w:cs="宋体"/>
          <w:color w:val="auto"/>
          <w:sz w:val="24"/>
          <w:u w:val="single"/>
        </w:rPr>
        <w:br w:type="page"/>
      </w:r>
      <w:r>
        <w:rPr>
          <w:rFonts w:ascii="Times New Roman" w:hAnsi="Times New Roman" w:cs="Times New Roman"/>
          <w:bCs/>
          <w:color w:val="auto"/>
          <w:sz w:val="24"/>
          <w:szCs w:val="24"/>
        </w:rPr>
        <w:t>附件5</w:t>
      </w:r>
    </w:p>
    <w:p>
      <w:pPr>
        <w:topLinePunct/>
        <w:spacing w:line="300" w:lineRule="auto"/>
        <w:jc w:val="center"/>
        <w:rPr>
          <w:rFonts w:ascii="Times New Roman" w:hAnsi="Times New Roman" w:cs="Times New Roman"/>
          <w:color w:val="auto"/>
          <w:sz w:val="32"/>
          <w:szCs w:val="32"/>
        </w:rPr>
      </w:pPr>
      <w:r>
        <w:rPr>
          <w:rFonts w:hint="eastAsia" w:ascii="Times New Roman" w:hAnsi="Times New Roman" w:cs="Times New Roman"/>
          <w:color w:val="auto"/>
          <w:sz w:val="32"/>
          <w:szCs w:val="32"/>
        </w:rPr>
        <w:t>法定代表人身份证明</w:t>
      </w:r>
    </w:p>
    <w:p>
      <w:pPr>
        <w:spacing w:line="300" w:lineRule="auto"/>
        <w:rPr>
          <w:rFonts w:ascii="宋体" w:hAnsi="宋体"/>
          <w:b/>
          <w:color w:val="auto"/>
          <w:sz w:val="24"/>
        </w:rPr>
      </w:pPr>
    </w:p>
    <w:p>
      <w:pPr>
        <w:spacing w:line="360" w:lineRule="auto"/>
        <w:rPr>
          <w:rFonts w:ascii="宋体" w:hAnsi="宋体" w:cs="宋体"/>
          <w:color w:val="auto"/>
          <w:sz w:val="24"/>
          <w:u w:val="single"/>
        </w:rPr>
      </w:pPr>
      <w:r>
        <w:rPr>
          <w:rFonts w:hint="eastAsia" w:ascii="宋体" w:hAnsi="宋体"/>
          <w:color w:val="auto"/>
          <w:sz w:val="24"/>
          <w:szCs w:val="24"/>
        </w:rPr>
        <w:t>供应商</w:t>
      </w:r>
      <w:r>
        <w:rPr>
          <w:rFonts w:hint="eastAsia" w:ascii="宋体" w:hAnsi="宋体" w:cs="宋体"/>
          <w:color w:val="auto"/>
          <w:sz w:val="24"/>
        </w:rPr>
        <w:t>名称：</w:t>
      </w:r>
      <w:r>
        <w:rPr>
          <w:rFonts w:hint="eastAsia" w:ascii="宋体" w:hAnsi="宋体" w:cs="宋体"/>
          <w:color w:val="auto"/>
          <w:sz w:val="24"/>
          <w:u w:val="single"/>
        </w:rPr>
        <w:t xml:space="preserve">                                           </w:t>
      </w:r>
    </w:p>
    <w:p>
      <w:pPr>
        <w:spacing w:line="360" w:lineRule="auto"/>
        <w:rPr>
          <w:rFonts w:ascii="宋体" w:hAnsi="宋体" w:cs="宋体"/>
          <w:color w:val="auto"/>
          <w:sz w:val="24"/>
          <w:u w:val="single"/>
        </w:rPr>
      </w:pPr>
      <w:r>
        <w:rPr>
          <w:rFonts w:hint="eastAsia" w:ascii="宋体" w:hAnsi="宋体" w:cs="宋体"/>
          <w:color w:val="auto"/>
          <w:sz w:val="24"/>
        </w:rPr>
        <w:t>单位性质：</w:t>
      </w:r>
      <w:r>
        <w:rPr>
          <w:rFonts w:hint="eastAsia" w:ascii="宋体" w:hAnsi="宋体" w:cs="宋体"/>
          <w:color w:val="auto"/>
          <w:sz w:val="24"/>
          <w:u w:val="single"/>
        </w:rPr>
        <w:t xml:space="preserve">                                           </w:t>
      </w:r>
    </w:p>
    <w:p>
      <w:pPr>
        <w:spacing w:line="360" w:lineRule="auto"/>
        <w:rPr>
          <w:rFonts w:ascii="宋体" w:hAnsi="宋体" w:cs="宋体"/>
          <w:color w:val="auto"/>
          <w:sz w:val="24"/>
          <w:u w:val="single"/>
        </w:rPr>
      </w:pPr>
      <w:r>
        <w:rPr>
          <w:rFonts w:hint="eastAsia" w:ascii="宋体" w:hAnsi="宋体" w:cs="宋体"/>
          <w:color w:val="auto"/>
          <w:sz w:val="24"/>
        </w:rPr>
        <w:t>地      址：</w:t>
      </w:r>
      <w:r>
        <w:rPr>
          <w:rFonts w:hint="eastAsia" w:ascii="宋体" w:hAnsi="宋体" w:cs="宋体"/>
          <w:color w:val="auto"/>
          <w:sz w:val="24"/>
          <w:u w:val="single"/>
        </w:rPr>
        <w:t xml:space="preserve">                                           </w:t>
      </w:r>
    </w:p>
    <w:p>
      <w:pPr>
        <w:spacing w:line="360" w:lineRule="auto"/>
        <w:rPr>
          <w:rFonts w:ascii="宋体" w:hAnsi="宋体" w:cs="宋体"/>
          <w:color w:val="auto"/>
          <w:sz w:val="24"/>
        </w:rPr>
      </w:pPr>
      <w:r>
        <w:rPr>
          <w:rFonts w:hint="eastAsia" w:ascii="宋体" w:hAnsi="宋体" w:cs="宋体"/>
          <w:color w:val="auto"/>
          <w:sz w:val="24"/>
        </w:rPr>
        <w:t>成立时间：</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spacing w:line="360" w:lineRule="auto"/>
        <w:rPr>
          <w:rFonts w:ascii="宋体" w:hAnsi="宋体" w:cs="宋体"/>
          <w:color w:val="auto"/>
          <w:sz w:val="24"/>
          <w:u w:val="single"/>
        </w:rPr>
      </w:pPr>
      <w:r>
        <w:rPr>
          <w:rFonts w:hint="eastAsia" w:ascii="宋体" w:hAnsi="宋体" w:cs="宋体"/>
          <w:color w:val="auto"/>
          <w:sz w:val="24"/>
        </w:rPr>
        <w:t>经营期限：</w:t>
      </w:r>
      <w:r>
        <w:rPr>
          <w:rFonts w:hint="eastAsia" w:ascii="宋体" w:hAnsi="宋体" w:cs="宋体"/>
          <w:color w:val="auto"/>
          <w:sz w:val="24"/>
          <w:u w:val="single"/>
        </w:rPr>
        <w:t xml:space="preserve">                                           </w:t>
      </w:r>
    </w:p>
    <w:p>
      <w:pPr>
        <w:spacing w:line="360" w:lineRule="auto"/>
        <w:rPr>
          <w:rFonts w:ascii="宋体" w:hAnsi="宋体" w:cs="宋体"/>
          <w:color w:val="auto"/>
          <w:sz w:val="24"/>
          <w:u w:val="single"/>
        </w:rPr>
      </w:pPr>
      <w:r>
        <w:rPr>
          <w:rFonts w:hint="eastAsia" w:ascii="宋体" w:hAnsi="宋体" w:cs="宋体"/>
          <w:color w:val="auto"/>
          <w:sz w:val="24"/>
        </w:rPr>
        <w:t>姓      名：</w:t>
      </w:r>
      <w:r>
        <w:rPr>
          <w:rFonts w:hint="eastAsia" w:ascii="宋体" w:hAnsi="宋体" w:cs="宋体"/>
          <w:color w:val="auto"/>
          <w:sz w:val="24"/>
          <w:u w:val="single"/>
        </w:rPr>
        <w:t xml:space="preserve">            </w:t>
      </w:r>
      <w:r>
        <w:rPr>
          <w:rFonts w:hint="eastAsia" w:ascii="宋体" w:hAnsi="宋体" w:cs="宋体"/>
          <w:color w:val="auto"/>
          <w:sz w:val="24"/>
        </w:rPr>
        <w:t>性别：</w:t>
      </w:r>
      <w:r>
        <w:rPr>
          <w:rFonts w:hint="eastAsia" w:ascii="宋体" w:hAnsi="宋体" w:cs="宋体"/>
          <w:color w:val="auto"/>
          <w:sz w:val="24"/>
          <w:u w:val="single"/>
        </w:rPr>
        <w:t xml:space="preserve">         </w:t>
      </w:r>
      <w:r>
        <w:rPr>
          <w:rFonts w:hint="eastAsia" w:ascii="宋体" w:hAnsi="宋体" w:cs="宋体"/>
          <w:color w:val="auto"/>
          <w:sz w:val="24"/>
        </w:rPr>
        <w:t>年龄：</w:t>
      </w:r>
      <w:r>
        <w:rPr>
          <w:rFonts w:hint="eastAsia" w:ascii="宋体" w:hAnsi="宋体" w:cs="宋体"/>
          <w:color w:val="auto"/>
          <w:sz w:val="24"/>
          <w:u w:val="single"/>
        </w:rPr>
        <w:t xml:space="preserve">       </w:t>
      </w:r>
      <w:r>
        <w:rPr>
          <w:rFonts w:hint="eastAsia" w:ascii="宋体" w:hAnsi="宋体" w:cs="宋体"/>
          <w:color w:val="auto"/>
          <w:sz w:val="24"/>
        </w:rPr>
        <w:t>职务：</w:t>
      </w:r>
      <w:r>
        <w:rPr>
          <w:rFonts w:hint="eastAsia" w:ascii="宋体" w:hAnsi="宋体" w:cs="宋体"/>
          <w:color w:val="auto"/>
          <w:sz w:val="24"/>
          <w:u w:val="single"/>
        </w:rPr>
        <w:t xml:space="preserve">         </w:t>
      </w:r>
    </w:p>
    <w:p>
      <w:pPr>
        <w:spacing w:line="360" w:lineRule="auto"/>
        <w:rPr>
          <w:rFonts w:ascii="宋体" w:hAnsi="宋体" w:cs="宋体"/>
          <w:color w:val="auto"/>
          <w:sz w:val="24"/>
        </w:rPr>
      </w:pPr>
      <w:r>
        <w:rPr>
          <w:rFonts w:hint="eastAsia" w:ascii="宋体" w:hAnsi="宋体" w:cs="宋体"/>
          <w:color w:val="auto"/>
          <w:sz w:val="24"/>
        </w:rPr>
        <w:t>系</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color w:val="auto"/>
          <w:sz w:val="24"/>
          <w:szCs w:val="24"/>
        </w:rPr>
        <w:t>供应商</w:t>
      </w:r>
      <w:r>
        <w:rPr>
          <w:rFonts w:hint="eastAsia" w:ascii="宋体" w:hAnsi="宋体" w:cs="宋体"/>
          <w:color w:val="auto"/>
          <w:sz w:val="24"/>
        </w:rPr>
        <w:t>名称）的法定代表人</w:t>
      </w:r>
    </w:p>
    <w:p>
      <w:pPr>
        <w:spacing w:line="300" w:lineRule="auto"/>
        <w:rPr>
          <w:rFonts w:ascii="宋体" w:hAnsi="宋体" w:cs="宋体"/>
          <w:color w:val="auto"/>
          <w:sz w:val="24"/>
        </w:rPr>
      </w:pPr>
    </w:p>
    <w:p>
      <w:pPr>
        <w:spacing w:line="300" w:lineRule="auto"/>
        <w:rPr>
          <w:rFonts w:ascii="宋体" w:hAnsi="宋体" w:cs="宋体"/>
          <w:color w:val="auto"/>
          <w:sz w:val="24"/>
        </w:rPr>
      </w:pPr>
      <w:r>
        <w:rPr>
          <w:rFonts w:hint="eastAsia" w:ascii="宋体" w:hAnsi="宋体" w:cs="宋体"/>
          <w:color w:val="auto"/>
          <w:sz w:val="24"/>
        </w:rPr>
        <w:t>特此证明</w:t>
      </w:r>
    </w:p>
    <w:p>
      <w:pPr>
        <w:spacing w:line="300" w:lineRule="auto"/>
        <w:rPr>
          <w:rFonts w:ascii="宋体" w:hAnsi="宋体" w:cs="宋体"/>
          <w:color w:val="auto"/>
          <w:sz w:val="24"/>
        </w:rPr>
      </w:pPr>
    </w:p>
    <w:p>
      <w:pPr>
        <w:spacing w:line="300" w:lineRule="auto"/>
        <w:ind w:firstLine="2520" w:firstLineChars="1050"/>
        <w:rPr>
          <w:rFonts w:ascii="宋体" w:hAnsi="宋体" w:cs="宋体"/>
          <w:color w:val="auto"/>
          <w:sz w:val="24"/>
        </w:rPr>
      </w:pPr>
      <w:r>
        <w:rPr>
          <w:rFonts w:hint="eastAsia" w:ascii="宋体" w:hAnsi="宋体"/>
          <w:color w:val="auto"/>
          <w:sz w:val="24"/>
          <w:szCs w:val="24"/>
        </w:rPr>
        <w:t>供应商</w:t>
      </w:r>
      <w:r>
        <w:rPr>
          <w:rFonts w:hint="eastAsia" w:ascii="宋体" w:hAnsi="宋体" w:cs="宋体"/>
          <w:color w:val="auto"/>
          <w:sz w:val="24"/>
        </w:rPr>
        <w:t>：</w:t>
      </w:r>
      <w:r>
        <w:rPr>
          <w:rFonts w:hint="eastAsia" w:ascii="宋体" w:hAnsi="宋体" w:cs="宋体"/>
          <w:color w:val="auto"/>
          <w:sz w:val="24"/>
          <w:u w:val="single"/>
        </w:rPr>
        <w:t xml:space="preserve">                          </w:t>
      </w:r>
      <w:r>
        <w:rPr>
          <w:rFonts w:hint="eastAsia" w:ascii="宋体" w:hAnsi="宋体" w:cs="宋体"/>
          <w:color w:val="auto"/>
          <w:sz w:val="24"/>
        </w:rPr>
        <w:t>（单位盖章）</w:t>
      </w:r>
    </w:p>
    <w:p>
      <w:pPr>
        <w:spacing w:line="300" w:lineRule="auto"/>
        <w:rPr>
          <w:rFonts w:ascii="宋体" w:hAnsi="宋体" w:cs="宋体"/>
          <w:color w:val="auto"/>
          <w:sz w:val="24"/>
          <w:u w:val="single"/>
        </w:rPr>
      </w:pPr>
    </w:p>
    <w:p>
      <w:pPr>
        <w:spacing w:line="300" w:lineRule="auto"/>
        <w:ind w:firstLine="3840" w:firstLineChars="1600"/>
        <w:rPr>
          <w:rFonts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spacing w:line="300" w:lineRule="auto"/>
        <w:rPr>
          <w:rFonts w:ascii="宋体" w:hAnsi="宋体" w:cs="宋体"/>
          <w:b/>
          <w:color w:val="auto"/>
          <w:sz w:val="24"/>
        </w:rPr>
      </w:pPr>
    </w:p>
    <w:p>
      <w:pPr>
        <w:spacing w:line="300" w:lineRule="auto"/>
        <w:rPr>
          <w:rFonts w:ascii="宋体" w:hAnsi="宋体" w:cs="宋体"/>
          <w:color w:val="auto"/>
          <w:sz w:val="24"/>
        </w:rPr>
      </w:pPr>
    </w:p>
    <w:p>
      <w:pPr>
        <w:spacing w:line="300" w:lineRule="auto"/>
        <w:jc w:val="center"/>
        <w:rPr>
          <w:rFonts w:ascii="宋体" w:hAnsi="宋体" w:cs="宋体"/>
          <w:color w:val="auto"/>
          <w:sz w:val="24"/>
        </w:rPr>
      </w:pPr>
      <w:r>
        <w:rPr>
          <w:rFonts w:hint="eastAsia" w:ascii="宋体" w:hAnsi="宋体"/>
          <w:color w:val="auto"/>
          <w:sz w:val="24"/>
        </w:rPr>
        <w:t>（粘贴法定代表人身份证复印件）</w:t>
      </w:r>
    </w:p>
    <w:p>
      <w:pPr>
        <w:widowControl/>
        <w:jc w:val="left"/>
        <w:rPr>
          <w:rFonts w:ascii="Times New Roman" w:hAnsi="Times New Roman" w:cs="Times New Roman"/>
          <w:bCs/>
          <w:color w:val="auto"/>
          <w:sz w:val="24"/>
          <w:szCs w:val="24"/>
        </w:rPr>
      </w:pPr>
      <w:r>
        <w:rPr>
          <w:rFonts w:ascii="Times New Roman" w:hAnsi="Times New Roman" w:cs="Times New Roman"/>
          <w:bCs/>
          <w:color w:val="auto"/>
          <w:sz w:val="24"/>
          <w:szCs w:val="24"/>
        </w:rPr>
        <w:br w:type="page"/>
      </w:r>
    </w:p>
    <w:p>
      <w:pPr>
        <w:widowControl/>
        <w:jc w:val="left"/>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附件6</w:t>
      </w:r>
    </w:p>
    <w:p>
      <w:pPr>
        <w:adjustRightInd w:val="0"/>
        <w:snapToGrid w:val="0"/>
        <w:jc w:val="center"/>
        <w:outlineLvl w:val="0"/>
        <w:rPr>
          <w:rFonts w:ascii="Times New Roman" w:hAnsi="Times New Roman" w:cs="Times New Roman"/>
          <w:color w:val="auto"/>
          <w:sz w:val="32"/>
          <w:szCs w:val="32"/>
        </w:rPr>
      </w:pPr>
      <w:r>
        <w:rPr>
          <w:rFonts w:ascii="Times New Roman" w:hAnsi="Times New Roman" w:cs="Times New Roman"/>
          <w:color w:val="auto"/>
          <w:sz w:val="32"/>
          <w:szCs w:val="32"/>
        </w:rPr>
        <w:t>法人（负责人）代表授权书</w:t>
      </w:r>
    </w:p>
    <w:p>
      <w:pPr>
        <w:spacing w:before="120" w:beforeLines="50" w:after="240" w:afterLines="100"/>
        <w:rPr>
          <w:rFonts w:ascii="Times New Roman" w:hAnsi="Times New Roman" w:cs="Times New Roman"/>
          <w:color w:val="auto"/>
          <w:sz w:val="24"/>
          <w:szCs w:val="24"/>
        </w:rPr>
      </w:pPr>
    </w:p>
    <w:p>
      <w:pPr>
        <w:spacing w:before="120" w:beforeLines="50" w:after="240" w:afterLines="100"/>
        <w:rPr>
          <w:rFonts w:ascii="Times New Roman" w:hAnsi="Times New Roman" w:cs="Times New Roman"/>
          <w:bCs/>
          <w:color w:val="auto"/>
          <w:sz w:val="24"/>
          <w:szCs w:val="24"/>
        </w:rPr>
      </w:pPr>
      <w:r>
        <w:rPr>
          <w:rFonts w:hint="eastAsia"/>
          <w:bCs/>
          <w:color w:val="auto"/>
          <w:sz w:val="24"/>
        </w:rPr>
        <w:t>（采购人名称）</w:t>
      </w:r>
      <w:r>
        <w:rPr>
          <w:rFonts w:ascii="Times New Roman" w:hAnsi="Times New Roman" w:cs="Times New Roman"/>
          <w:bCs/>
          <w:color w:val="auto"/>
          <w:sz w:val="24"/>
          <w:szCs w:val="24"/>
        </w:rPr>
        <w:t>：</w:t>
      </w:r>
    </w:p>
    <w:p>
      <w:pPr>
        <w:spacing w:line="440" w:lineRule="exact"/>
        <w:ind w:firstLine="480" w:firstLineChars="200"/>
        <w:rPr>
          <w:rFonts w:ascii="Times New Roman" w:hAnsi="Times New Roman" w:cs="Times New Roman"/>
          <w:bCs/>
          <w:color w:val="auto"/>
          <w:sz w:val="24"/>
          <w:szCs w:val="24"/>
        </w:rPr>
      </w:pPr>
      <w:r>
        <w:rPr>
          <w:rFonts w:ascii="Times New Roman" w:hAnsi="Times New Roman" w:cs="Times New Roman"/>
          <w:bCs/>
          <w:color w:val="auto"/>
          <w:sz w:val="24"/>
          <w:szCs w:val="24"/>
          <w:u w:val="single"/>
        </w:rPr>
        <w:t>（供应商名称）</w:t>
      </w:r>
      <w:r>
        <w:rPr>
          <w:rFonts w:ascii="Times New Roman" w:hAnsi="Times New Roman" w:cs="Times New Roman"/>
          <w:bCs/>
          <w:color w:val="auto"/>
          <w:sz w:val="24"/>
          <w:szCs w:val="24"/>
        </w:rPr>
        <w:t>在下面签字的（</w:t>
      </w:r>
      <w:r>
        <w:rPr>
          <w:rFonts w:ascii="Times New Roman" w:hAnsi="Times New Roman" w:cs="Times New Roman"/>
          <w:bCs/>
          <w:color w:val="auto"/>
          <w:sz w:val="24"/>
          <w:szCs w:val="24"/>
          <w:u w:val="single"/>
        </w:rPr>
        <w:t>法定代表人姓名、职务</w:t>
      </w:r>
      <w:r>
        <w:rPr>
          <w:rFonts w:ascii="Times New Roman" w:hAnsi="Times New Roman" w:cs="Times New Roman"/>
          <w:bCs/>
          <w:color w:val="auto"/>
          <w:sz w:val="24"/>
          <w:szCs w:val="24"/>
        </w:rPr>
        <w:t>）代表本公司授权（供应商名称）的下面签字的</w:t>
      </w:r>
      <w:r>
        <w:rPr>
          <w:rFonts w:ascii="Times New Roman" w:hAnsi="Times New Roman" w:cs="Times New Roman"/>
          <w:bCs/>
          <w:color w:val="auto"/>
          <w:sz w:val="24"/>
          <w:szCs w:val="24"/>
          <w:u w:val="single"/>
        </w:rPr>
        <w:t>（被授权代表的姓名、职务）</w:t>
      </w:r>
      <w:r>
        <w:rPr>
          <w:rFonts w:ascii="Times New Roman" w:hAnsi="Times New Roman" w:cs="Times New Roman"/>
          <w:bCs/>
          <w:color w:val="auto"/>
          <w:sz w:val="24"/>
          <w:szCs w:val="24"/>
        </w:rPr>
        <w:t>为本公司的合法代理人，就（</w:t>
      </w:r>
      <w:r>
        <w:rPr>
          <w:rFonts w:ascii="Times New Roman" w:hAnsi="Times New Roman" w:cs="Times New Roman"/>
          <w:bCs/>
          <w:color w:val="auto"/>
          <w:sz w:val="24"/>
          <w:szCs w:val="24"/>
          <w:u w:val="single"/>
        </w:rPr>
        <w:t>项目名称、项目编号</w:t>
      </w:r>
      <w:r>
        <w:rPr>
          <w:rFonts w:ascii="Times New Roman" w:hAnsi="Times New Roman" w:cs="Times New Roman"/>
          <w:bCs/>
          <w:color w:val="auto"/>
          <w:sz w:val="24"/>
          <w:szCs w:val="24"/>
        </w:rPr>
        <w:t>）的竞争性磋商，以本公司的名义处理一切与之有关的事务。</w:t>
      </w:r>
    </w:p>
    <w:p>
      <w:pPr>
        <w:spacing w:line="440" w:lineRule="exact"/>
        <w:ind w:firstLine="480" w:firstLineChars="200"/>
        <w:rPr>
          <w:rFonts w:ascii="Times New Roman" w:hAnsi="Times New Roman" w:cs="Times New Roman"/>
          <w:bCs/>
          <w:color w:val="auto"/>
          <w:sz w:val="24"/>
          <w:szCs w:val="24"/>
        </w:rPr>
      </w:pPr>
      <w:r>
        <w:rPr>
          <w:rFonts w:ascii="Times New Roman" w:hAnsi="Times New Roman" w:cs="Times New Roman"/>
          <w:bCs/>
          <w:color w:val="auto"/>
          <w:sz w:val="24"/>
          <w:szCs w:val="24"/>
        </w:rPr>
        <w:t>本授权书自    年    月    日至    年    月    日止签字有效。</w:t>
      </w:r>
    </w:p>
    <w:p>
      <w:pPr>
        <w:spacing w:line="440" w:lineRule="exact"/>
        <w:ind w:firstLine="480" w:firstLineChars="200"/>
        <w:rPr>
          <w:rFonts w:ascii="Times New Roman" w:hAnsi="Times New Roman" w:cs="Times New Roman"/>
          <w:bCs/>
          <w:color w:val="auto"/>
          <w:sz w:val="24"/>
          <w:szCs w:val="24"/>
        </w:rPr>
      </w:pPr>
      <w:r>
        <w:rPr>
          <w:rFonts w:ascii="Times New Roman" w:hAnsi="Times New Roman" w:cs="Times New Roman"/>
          <w:bCs/>
          <w:color w:val="auto"/>
          <w:sz w:val="24"/>
          <w:szCs w:val="24"/>
        </w:rPr>
        <w:t>特此声明。</w:t>
      </w:r>
    </w:p>
    <w:p>
      <w:pPr>
        <w:spacing w:before="240" w:beforeLines="100" w:after="100" w:afterAutospacing="1"/>
        <w:ind w:firstLine="480" w:firstLineChars="200"/>
        <w:rPr>
          <w:rFonts w:ascii="Times New Roman" w:hAnsi="Times New Roman" w:cs="Times New Roman"/>
          <w:bCs/>
          <w:color w:val="auto"/>
          <w:sz w:val="24"/>
          <w:szCs w:val="24"/>
        </w:rPr>
      </w:pPr>
      <w:r>
        <w:rPr>
          <w:rFonts w:ascii="Times New Roman" w:hAnsi="Times New Roman" w:cs="Times New Roman"/>
          <w:bCs/>
          <w:color w:val="auto"/>
          <w:sz w:val="24"/>
          <w:szCs w:val="24"/>
        </w:rPr>
        <w:t>委托人名称（公章）：                被授权人（签章）：</w:t>
      </w:r>
    </w:p>
    <w:p>
      <w:pPr>
        <w:spacing w:before="240" w:beforeLines="100" w:after="100" w:afterAutospacing="1"/>
        <w:ind w:firstLine="480" w:firstLineChars="200"/>
        <w:rPr>
          <w:rFonts w:ascii="Times New Roman" w:hAnsi="Times New Roman" w:cs="Times New Roman"/>
          <w:bCs/>
          <w:color w:val="auto"/>
          <w:sz w:val="24"/>
          <w:szCs w:val="24"/>
          <w:u w:val="single"/>
        </w:rPr>
      </w:pPr>
      <w:r>
        <w:rPr>
          <w:rFonts w:ascii="Times New Roman" w:hAnsi="Times New Roman" w:cs="Times New Roman"/>
          <w:bCs/>
          <w:color w:val="auto"/>
          <w:sz w:val="24"/>
          <w:szCs w:val="24"/>
        </w:rPr>
        <w:t>法定（负责人）代表人（签章）：      身份证号码：</w:t>
      </w:r>
    </w:p>
    <w:p>
      <w:pPr>
        <w:spacing w:before="240" w:beforeLines="100" w:after="100" w:afterAutospacing="1"/>
        <w:ind w:firstLine="480" w:firstLineChars="200"/>
        <w:rPr>
          <w:rFonts w:ascii="Times New Roman" w:hAnsi="Times New Roman" w:cs="Times New Roman"/>
          <w:bCs/>
          <w:color w:val="auto"/>
          <w:sz w:val="24"/>
          <w:szCs w:val="24"/>
          <w:u w:val="single"/>
        </w:rPr>
      </w:pPr>
      <w:r>
        <w:rPr>
          <w:rFonts w:ascii="Times New Roman" w:hAnsi="Times New Roman" w:cs="Times New Roman"/>
          <w:bCs/>
          <w:color w:val="auto"/>
          <w:sz w:val="24"/>
          <w:szCs w:val="24"/>
        </w:rPr>
        <w:t>电话：                               电话（手机）：</w:t>
      </w:r>
    </w:p>
    <w:p>
      <w:pPr>
        <w:spacing w:before="240" w:beforeLines="100" w:after="100" w:afterAutospacing="1"/>
        <w:ind w:firstLine="480" w:firstLineChars="200"/>
        <w:rPr>
          <w:rFonts w:ascii="Times New Roman" w:hAnsi="Times New Roman" w:cs="Times New Roman"/>
          <w:bCs/>
          <w:color w:val="auto"/>
          <w:sz w:val="24"/>
          <w:szCs w:val="24"/>
          <w:u w:val="single"/>
        </w:rPr>
      </w:pPr>
      <w:r>
        <w:rPr>
          <w:rFonts w:ascii="Times New Roman" w:hAnsi="Times New Roman" w:cs="Times New Roman"/>
          <w:bCs/>
          <w:color w:val="auto"/>
          <w:sz w:val="24"/>
          <w:szCs w:val="24"/>
        </w:rPr>
        <w:t>传真：办公                           电话/传真：</w:t>
      </w:r>
    </w:p>
    <w:p>
      <w:pPr>
        <w:spacing w:before="120" w:beforeLines="50" w:after="240" w:afterLines="100"/>
        <w:rPr>
          <w:rFonts w:ascii="Times New Roman" w:hAnsi="Times New Roman" w:cs="Times New Roman"/>
          <w:bCs/>
          <w:color w:val="auto"/>
          <w:sz w:val="24"/>
          <w:szCs w:val="24"/>
          <w:u w:val="single"/>
        </w:rPr>
      </w:pPr>
    </w:p>
    <w:p>
      <w:pPr>
        <w:spacing w:line="300" w:lineRule="auto"/>
        <w:ind w:firstLine="2160" w:firstLineChars="900"/>
        <w:rPr>
          <w:rFonts w:ascii="宋体" w:hAnsi="宋体" w:cs="宋体"/>
          <w:color w:val="auto"/>
          <w:sz w:val="24"/>
        </w:rPr>
      </w:pPr>
      <w:r>
        <w:rPr>
          <w:rFonts w:hint="eastAsia" w:ascii="宋体" w:hAnsi="宋体"/>
          <w:color w:val="auto"/>
          <w:sz w:val="24"/>
        </w:rPr>
        <w:t>（粘贴被授权人身份证复印件）</w:t>
      </w:r>
    </w:p>
    <w:p>
      <w:pPr>
        <w:widowControl/>
        <w:jc w:val="left"/>
        <w:rPr>
          <w:rFonts w:ascii="Times New Roman" w:hAnsi="Times New Roman" w:cs="Times New Roman"/>
          <w:bCs/>
          <w:color w:val="auto"/>
          <w:sz w:val="24"/>
          <w:szCs w:val="24"/>
        </w:rPr>
      </w:pPr>
    </w:p>
    <w:p>
      <w:pPr>
        <w:widowControl/>
        <w:jc w:val="left"/>
        <w:rPr>
          <w:rFonts w:ascii="Times New Roman" w:hAnsi="Times New Roman" w:cs="Times New Roman"/>
          <w:bCs/>
          <w:color w:val="auto"/>
          <w:sz w:val="24"/>
          <w:szCs w:val="24"/>
        </w:rPr>
      </w:pPr>
    </w:p>
    <w:p>
      <w:pPr>
        <w:widowControl/>
        <w:jc w:val="left"/>
        <w:rPr>
          <w:rFonts w:ascii="Times New Roman" w:hAnsi="Times New Roman" w:cs="Times New Roman"/>
          <w:bCs/>
          <w:color w:val="auto"/>
          <w:sz w:val="24"/>
          <w:szCs w:val="24"/>
        </w:rPr>
      </w:pPr>
    </w:p>
    <w:p>
      <w:pPr>
        <w:widowControl/>
        <w:jc w:val="left"/>
        <w:rPr>
          <w:rFonts w:ascii="Times New Roman" w:hAnsi="Times New Roman" w:cs="Times New Roman"/>
          <w:bCs/>
          <w:color w:val="auto"/>
          <w:sz w:val="24"/>
          <w:szCs w:val="24"/>
        </w:rPr>
      </w:pPr>
    </w:p>
    <w:p>
      <w:pPr>
        <w:widowControl/>
        <w:jc w:val="left"/>
        <w:rPr>
          <w:rFonts w:ascii="Times New Roman" w:hAnsi="Times New Roman" w:cs="Times New Roman"/>
          <w:bCs/>
          <w:color w:val="auto"/>
          <w:sz w:val="24"/>
          <w:szCs w:val="24"/>
        </w:rPr>
      </w:pPr>
    </w:p>
    <w:p>
      <w:pPr>
        <w:widowControl/>
        <w:jc w:val="left"/>
        <w:rPr>
          <w:rFonts w:ascii="Times New Roman" w:hAnsi="Times New Roman" w:cs="Times New Roman"/>
          <w:bCs/>
          <w:color w:val="auto"/>
          <w:sz w:val="24"/>
          <w:szCs w:val="24"/>
        </w:rPr>
      </w:pPr>
    </w:p>
    <w:p>
      <w:pPr>
        <w:widowControl/>
        <w:jc w:val="left"/>
        <w:rPr>
          <w:rFonts w:ascii="Times New Roman" w:hAnsi="Times New Roman" w:cs="Times New Roman"/>
          <w:bCs/>
          <w:color w:val="auto"/>
          <w:sz w:val="24"/>
          <w:szCs w:val="24"/>
        </w:rPr>
      </w:pPr>
    </w:p>
    <w:p>
      <w:pPr>
        <w:widowControl/>
        <w:jc w:val="left"/>
        <w:rPr>
          <w:rFonts w:ascii="Times New Roman" w:hAnsi="Times New Roman" w:cs="Times New Roman"/>
          <w:bCs/>
          <w:color w:val="auto"/>
          <w:sz w:val="24"/>
          <w:szCs w:val="24"/>
        </w:rPr>
      </w:pPr>
    </w:p>
    <w:p>
      <w:pPr>
        <w:widowControl/>
        <w:jc w:val="left"/>
        <w:rPr>
          <w:rFonts w:ascii="Times New Roman" w:hAnsi="Times New Roman" w:cs="Times New Roman"/>
          <w:bCs/>
          <w:color w:val="auto"/>
          <w:sz w:val="24"/>
          <w:szCs w:val="24"/>
        </w:rPr>
      </w:pPr>
    </w:p>
    <w:p>
      <w:pPr>
        <w:widowControl/>
        <w:jc w:val="left"/>
        <w:rPr>
          <w:rFonts w:ascii="Times New Roman" w:hAnsi="Times New Roman" w:cs="Times New Roman"/>
          <w:bCs/>
          <w:color w:val="auto"/>
          <w:sz w:val="24"/>
          <w:szCs w:val="24"/>
        </w:rPr>
      </w:pPr>
    </w:p>
    <w:p>
      <w:pPr>
        <w:widowControl/>
        <w:jc w:val="left"/>
        <w:rPr>
          <w:rFonts w:ascii="Times New Roman" w:hAnsi="Times New Roman" w:cs="Times New Roman"/>
          <w:bCs/>
          <w:color w:val="auto"/>
          <w:sz w:val="24"/>
          <w:szCs w:val="24"/>
        </w:rPr>
      </w:pPr>
    </w:p>
    <w:p>
      <w:pPr>
        <w:widowControl/>
        <w:jc w:val="left"/>
        <w:rPr>
          <w:rFonts w:ascii="Times New Roman" w:hAnsi="Times New Roman" w:cs="Times New Roman"/>
          <w:bCs/>
          <w:color w:val="auto"/>
          <w:sz w:val="24"/>
          <w:szCs w:val="24"/>
        </w:rPr>
      </w:pPr>
    </w:p>
    <w:p>
      <w:pPr>
        <w:widowControl/>
        <w:jc w:val="left"/>
        <w:rPr>
          <w:rFonts w:ascii="Times New Roman" w:hAnsi="Times New Roman" w:cs="Times New Roman"/>
          <w:bCs/>
          <w:color w:val="auto"/>
          <w:sz w:val="24"/>
          <w:szCs w:val="24"/>
        </w:rPr>
      </w:pPr>
    </w:p>
    <w:p>
      <w:pPr>
        <w:widowControl/>
        <w:jc w:val="left"/>
        <w:rPr>
          <w:rFonts w:ascii="Times New Roman" w:hAnsi="Times New Roman" w:cs="Times New Roman"/>
          <w:bCs/>
          <w:color w:val="auto"/>
          <w:sz w:val="24"/>
          <w:szCs w:val="24"/>
        </w:rPr>
      </w:pPr>
    </w:p>
    <w:p>
      <w:pPr>
        <w:widowControl/>
        <w:jc w:val="left"/>
        <w:rPr>
          <w:rFonts w:ascii="Times New Roman" w:hAnsi="Times New Roman" w:cs="Times New Roman"/>
          <w:bCs/>
          <w:color w:val="auto"/>
          <w:sz w:val="24"/>
          <w:szCs w:val="24"/>
        </w:rPr>
      </w:pPr>
    </w:p>
    <w:p>
      <w:pPr>
        <w:widowControl/>
        <w:jc w:val="left"/>
        <w:rPr>
          <w:rFonts w:ascii="Times New Roman" w:hAnsi="Times New Roman" w:cs="Times New Roman"/>
          <w:bCs/>
          <w:color w:val="auto"/>
          <w:sz w:val="24"/>
          <w:szCs w:val="24"/>
        </w:rPr>
      </w:pPr>
    </w:p>
    <w:p>
      <w:pPr>
        <w:widowControl/>
        <w:jc w:val="left"/>
        <w:rPr>
          <w:rFonts w:ascii="Times New Roman" w:hAnsi="Times New Roman" w:cs="Times New Roman"/>
          <w:bCs/>
          <w:color w:val="auto"/>
          <w:sz w:val="24"/>
          <w:szCs w:val="24"/>
        </w:rPr>
      </w:pPr>
    </w:p>
    <w:p>
      <w:pPr>
        <w:widowControl/>
        <w:jc w:val="left"/>
        <w:rPr>
          <w:rFonts w:ascii="Times New Roman" w:hAnsi="Times New Roman" w:cs="Times New Roman"/>
          <w:bCs/>
          <w:color w:val="auto"/>
          <w:sz w:val="24"/>
          <w:szCs w:val="24"/>
        </w:rPr>
      </w:pPr>
    </w:p>
    <w:p>
      <w:pPr>
        <w:widowControl/>
        <w:jc w:val="left"/>
        <w:rPr>
          <w:rFonts w:ascii="Times New Roman" w:hAnsi="Times New Roman" w:cs="Times New Roman"/>
          <w:bCs/>
          <w:color w:val="auto"/>
          <w:sz w:val="24"/>
          <w:szCs w:val="24"/>
        </w:rPr>
      </w:pPr>
    </w:p>
    <w:p>
      <w:pPr>
        <w:widowControl/>
        <w:jc w:val="left"/>
        <w:rPr>
          <w:rFonts w:ascii="Times New Roman" w:hAnsi="Times New Roman" w:cs="Times New Roman"/>
          <w:bCs/>
          <w:color w:val="auto"/>
          <w:sz w:val="24"/>
          <w:szCs w:val="24"/>
        </w:rPr>
      </w:pPr>
    </w:p>
    <w:p>
      <w:pPr>
        <w:widowControl/>
        <w:jc w:val="left"/>
        <w:rPr>
          <w:rFonts w:ascii="Times New Roman" w:hAnsi="Times New Roman" w:cs="Times New Roman"/>
          <w:bCs/>
          <w:color w:val="auto"/>
          <w:sz w:val="24"/>
          <w:szCs w:val="24"/>
        </w:rPr>
      </w:pPr>
    </w:p>
    <w:p>
      <w:pPr>
        <w:spacing w:before="120" w:beforeLines="50" w:after="240" w:afterLines="100"/>
        <w:rPr>
          <w:rFonts w:ascii="Times New Roman" w:hAnsi="Times New Roman" w:cs="Times New Roman"/>
          <w:bCs/>
          <w:color w:val="auto"/>
          <w:sz w:val="24"/>
        </w:rPr>
      </w:pPr>
      <w:r>
        <w:rPr>
          <w:rFonts w:ascii="Times New Roman" w:hAnsi="Times New Roman" w:cs="Times New Roman"/>
          <w:bCs/>
          <w:color w:val="auto"/>
          <w:sz w:val="24"/>
        </w:rPr>
        <w:t>附件7</w:t>
      </w:r>
    </w:p>
    <w:p>
      <w:pPr>
        <w:spacing w:line="500" w:lineRule="exact"/>
        <w:jc w:val="center"/>
        <w:rPr>
          <w:rFonts w:ascii="Times New Roman" w:hAnsi="Times New Roman" w:cs="Times New Roman"/>
          <w:bCs/>
          <w:color w:val="auto"/>
          <w:sz w:val="32"/>
          <w:szCs w:val="32"/>
        </w:rPr>
      </w:pPr>
      <w:r>
        <w:rPr>
          <w:rFonts w:ascii="Times New Roman" w:hAnsi="Times New Roman" w:cs="Times New Roman"/>
          <w:bCs/>
          <w:color w:val="auto"/>
          <w:sz w:val="32"/>
          <w:szCs w:val="32"/>
        </w:rPr>
        <w:t>法人或者其他组织的营业执照等证明文件，自然人的</w:t>
      </w:r>
    </w:p>
    <w:p>
      <w:pPr>
        <w:spacing w:line="500" w:lineRule="exact"/>
        <w:jc w:val="center"/>
        <w:rPr>
          <w:rFonts w:ascii="Times New Roman" w:hAnsi="Times New Roman" w:cs="Times New Roman"/>
          <w:bCs/>
          <w:color w:val="auto"/>
          <w:sz w:val="32"/>
          <w:szCs w:val="32"/>
        </w:rPr>
      </w:pPr>
      <w:r>
        <w:rPr>
          <w:rFonts w:ascii="Times New Roman" w:hAnsi="Times New Roman" w:cs="Times New Roman"/>
          <w:bCs/>
          <w:color w:val="auto"/>
          <w:sz w:val="32"/>
          <w:szCs w:val="32"/>
        </w:rPr>
        <w:t>身份证明等证明材料</w:t>
      </w:r>
    </w:p>
    <w:p>
      <w:pPr>
        <w:rPr>
          <w:rFonts w:ascii="Times New Roman" w:hAnsi="Times New Roman" w:eastAsia="仿宋_GB2312" w:cs="Times New Roman"/>
          <w:bCs/>
          <w:color w:val="auto"/>
          <w:szCs w:val="28"/>
        </w:rPr>
      </w:pPr>
    </w:p>
    <w:p>
      <w:pPr>
        <w:widowControl/>
        <w:ind w:firstLine="2160" w:firstLineChars="900"/>
        <w:jc w:val="left"/>
        <w:rPr>
          <w:rFonts w:ascii="Times New Roman" w:hAnsi="Times New Roman" w:cs="Times New Roman"/>
          <w:bCs/>
          <w:color w:val="auto"/>
          <w:sz w:val="24"/>
        </w:rPr>
      </w:pPr>
      <w:r>
        <w:rPr>
          <w:rFonts w:ascii="Times New Roman" w:hAnsi="Times New Roman" w:cs="Times New Roman"/>
          <w:bCs/>
          <w:color w:val="auto"/>
          <w:sz w:val="24"/>
        </w:rPr>
        <w:t>（企业法人营业执照、税务登记证等）</w:t>
      </w:r>
    </w:p>
    <w:p>
      <w:pPr>
        <w:widowControl/>
        <w:jc w:val="left"/>
        <w:rPr>
          <w:rFonts w:ascii="Times New Roman" w:hAnsi="Times New Roman" w:cs="Times New Roman"/>
          <w:bCs/>
          <w:color w:val="auto"/>
          <w:sz w:val="24"/>
        </w:rPr>
      </w:pPr>
      <w:r>
        <w:rPr>
          <w:rFonts w:ascii="Times New Roman" w:hAnsi="Times New Roman" w:cs="Times New Roman"/>
          <w:bCs/>
          <w:color w:val="auto"/>
          <w:sz w:val="24"/>
        </w:rPr>
        <w:br w:type="page"/>
      </w:r>
    </w:p>
    <w:p>
      <w:pPr>
        <w:spacing w:line="440" w:lineRule="exact"/>
        <w:ind w:left="360" w:hanging="360" w:hangingChars="150"/>
        <w:rPr>
          <w:rFonts w:ascii="Times New Roman" w:hAnsi="Times New Roman" w:cs="Times New Roman"/>
          <w:bCs/>
          <w:color w:val="auto"/>
          <w:sz w:val="24"/>
        </w:rPr>
      </w:pPr>
      <w:r>
        <w:rPr>
          <w:rFonts w:ascii="Times New Roman" w:hAnsi="Times New Roman" w:cs="Times New Roman"/>
          <w:bCs/>
          <w:color w:val="auto"/>
          <w:sz w:val="24"/>
        </w:rPr>
        <w:t>附件8</w:t>
      </w:r>
    </w:p>
    <w:p>
      <w:pPr>
        <w:spacing w:line="500" w:lineRule="exact"/>
        <w:jc w:val="center"/>
        <w:rPr>
          <w:rFonts w:ascii="Times New Roman" w:hAnsi="Times New Roman" w:cs="Times New Roman"/>
          <w:bCs/>
          <w:color w:val="auto"/>
          <w:sz w:val="32"/>
          <w:szCs w:val="32"/>
        </w:rPr>
      </w:pPr>
      <w:r>
        <w:rPr>
          <w:rFonts w:ascii="Times New Roman" w:hAnsi="Times New Roman" w:cs="Times New Roman"/>
          <w:bCs/>
          <w:color w:val="auto"/>
          <w:sz w:val="32"/>
          <w:szCs w:val="32"/>
        </w:rPr>
        <w:t>财务状况报告，依法缴纳税收和社会保障资金的相关材料</w:t>
      </w:r>
    </w:p>
    <w:p>
      <w:pPr>
        <w:rPr>
          <w:rFonts w:ascii="Times New Roman" w:hAnsi="Times New Roman" w:eastAsia="仿宋_GB2312" w:cs="Times New Roman"/>
          <w:bCs/>
          <w:color w:val="auto"/>
          <w:szCs w:val="28"/>
        </w:rPr>
      </w:pPr>
    </w:p>
    <w:p>
      <w:pPr>
        <w:spacing w:line="440" w:lineRule="exact"/>
        <w:ind w:firstLine="480" w:firstLineChars="200"/>
        <w:rPr>
          <w:rFonts w:ascii="Times New Roman" w:hAnsi="Times New Roman" w:cs="Times New Roman"/>
          <w:bCs/>
          <w:color w:val="auto"/>
          <w:sz w:val="24"/>
        </w:rPr>
      </w:pPr>
      <w:r>
        <w:rPr>
          <w:rFonts w:ascii="Times New Roman" w:hAnsi="Times New Roman" w:cs="Times New Roman"/>
          <w:bCs/>
          <w:color w:val="auto"/>
          <w:sz w:val="24"/>
        </w:rPr>
        <w:t>一、参加本采购项目前一年度的财务报表（企业成立时间不足一年不适用），或其他证明具备实施本项目的财务状况证明材料；</w:t>
      </w:r>
    </w:p>
    <w:p>
      <w:pPr>
        <w:spacing w:line="440" w:lineRule="exact"/>
        <w:ind w:firstLine="480" w:firstLineChars="200"/>
        <w:rPr>
          <w:rFonts w:ascii="Times New Roman" w:hAnsi="Times New Roman" w:cs="Times New Roman"/>
          <w:bCs/>
          <w:color w:val="auto"/>
          <w:sz w:val="24"/>
        </w:rPr>
      </w:pPr>
      <w:r>
        <w:rPr>
          <w:rFonts w:ascii="Times New Roman" w:hAnsi="Times New Roman" w:cs="Times New Roman"/>
          <w:bCs/>
          <w:color w:val="auto"/>
          <w:sz w:val="24"/>
        </w:rPr>
        <w:t>二、参加本采购项目前，近期的纳税证明；</w:t>
      </w:r>
    </w:p>
    <w:p>
      <w:pPr>
        <w:spacing w:line="440" w:lineRule="exact"/>
        <w:ind w:left="2" w:leftChars="1" w:firstLine="480" w:firstLineChars="200"/>
        <w:rPr>
          <w:rFonts w:ascii="Times New Roman" w:hAnsi="Times New Roman" w:cs="Times New Roman"/>
          <w:bCs/>
          <w:color w:val="auto"/>
          <w:sz w:val="24"/>
        </w:rPr>
      </w:pPr>
      <w:r>
        <w:rPr>
          <w:rFonts w:ascii="Times New Roman" w:hAnsi="Times New Roman" w:cs="Times New Roman"/>
          <w:bCs/>
          <w:color w:val="auto"/>
          <w:sz w:val="24"/>
        </w:rPr>
        <w:t>三、参加本采购项目前，近期缴纳社会保障资金证明等。</w:t>
      </w:r>
      <w:r>
        <w:rPr>
          <w:rFonts w:ascii="Times New Roman" w:hAnsi="Times New Roman" w:cs="Times New Roman"/>
          <w:color w:val="auto"/>
          <w:szCs w:val="28"/>
        </w:rPr>
        <w:br w:type="page"/>
      </w:r>
      <w:r>
        <w:rPr>
          <w:rFonts w:ascii="Times New Roman" w:hAnsi="Times New Roman" w:cs="Times New Roman"/>
          <w:bCs/>
          <w:color w:val="auto"/>
          <w:sz w:val="24"/>
        </w:rPr>
        <w:t>附件9</w:t>
      </w:r>
    </w:p>
    <w:p>
      <w:pPr>
        <w:spacing w:line="440" w:lineRule="exact"/>
        <w:ind w:firstLine="1600" w:firstLineChars="500"/>
        <w:rPr>
          <w:rFonts w:ascii="Times New Roman" w:hAnsi="Times New Roman" w:cs="Times New Roman"/>
          <w:bCs/>
          <w:color w:val="auto"/>
          <w:sz w:val="32"/>
          <w:szCs w:val="32"/>
        </w:rPr>
      </w:pPr>
      <w:r>
        <w:rPr>
          <w:rFonts w:ascii="Times New Roman" w:hAnsi="Times New Roman" w:cs="Times New Roman"/>
          <w:bCs/>
          <w:color w:val="auto"/>
          <w:sz w:val="32"/>
          <w:szCs w:val="32"/>
        </w:rPr>
        <w:t>参加政府采购活动前3年内在经营活动中</w:t>
      </w:r>
    </w:p>
    <w:p>
      <w:pPr>
        <w:spacing w:line="440" w:lineRule="exact"/>
        <w:jc w:val="center"/>
        <w:rPr>
          <w:rFonts w:ascii="Times New Roman" w:hAnsi="Times New Roman" w:cs="Times New Roman"/>
          <w:bCs/>
          <w:color w:val="auto"/>
          <w:sz w:val="32"/>
          <w:szCs w:val="32"/>
        </w:rPr>
      </w:pPr>
      <w:r>
        <w:rPr>
          <w:rFonts w:ascii="Times New Roman" w:hAnsi="Times New Roman" w:cs="Times New Roman"/>
          <w:bCs/>
          <w:color w:val="auto"/>
          <w:sz w:val="32"/>
          <w:szCs w:val="32"/>
        </w:rPr>
        <w:t>没有重大违法记录的书面声明</w:t>
      </w:r>
    </w:p>
    <w:p>
      <w:pPr>
        <w:spacing w:line="440" w:lineRule="exact"/>
        <w:jc w:val="center"/>
        <w:rPr>
          <w:rFonts w:ascii="Times New Roman" w:hAnsi="Times New Roman" w:eastAsia="仿宋_GB2312" w:cs="Times New Roman"/>
          <w:color w:val="auto"/>
          <w:sz w:val="24"/>
        </w:rPr>
      </w:pPr>
    </w:p>
    <w:p>
      <w:pPr>
        <w:spacing w:line="500" w:lineRule="exact"/>
        <w:jc w:val="center"/>
        <w:rPr>
          <w:rFonts w:ascii="Times New Roman" w:hAnsi="Times New Roman" w:cs="Times New Roman" w:eastAsiaTheme="majorEastAsia"/>
          <w:bCs/>
          <w:color w:val="auto"/>
          <w:sz w:val="32"/>
          <w:szCs w:val="32"/>
        </w:rPr>
      </w:pPr>
      <w:r>
        <w:rPr>
          <w:rFonts w:ascii="Times New Roman" w:hAnsi="Times New Roman" w:cs="Times New Roman"/>
          <w:color w:val="auto"/>
          <w:sz w:val="24"/>
        </w:rPr>
        <w:t>（供应商自行编写）</w:t>
      </w:r>
    </w:p>
    <w:p>
      <w:pPr>
        <w:widowControl/>
        <w:jc w:val="left"/>
        <w:rPr>
          <w:rFonts w:ascii="Times New Roman" w:hAnsi="Times New Roman" w:cs="Times New Roman" w:eastAsiaTheme="majorEastAsia"/>
          <w:bCs/>
          <w:color w:val="auto"/>
          <w:sz w:val="32"/>
          <w:szCs w:val="32"/>
        </w:rPr>
      </w:pPr>
      <w:r>
        <w:rPr>
          <w:rFonts w:ascii="Times New Roman" w:hAnsi="Times New Roman" w:cs="Times New Roman" w:eastAsiaTheme="majorEastAsia"/>
          <w:bCs/>
          <w:color w:val="auto"/>
          <w:sz w:val="32"/>
          <w:szCs w:val="32"/>
        </w:rPr>
        <w:br w:type="page"/>
      </w:r>
    </w:p>
    <w:p>
      <w:pPr>
        <w:widowControl/>
        <w:jc w:val="left"/>
        <w:rPr>
          <w:rFonts w:ascii="Times New Roman" w:hAnsi="Times New Roman" w:cs="Times New Roman"/>
          <w:color w:val="auto"/>
          <w:sz w:val="32"/>
          <w:szCs w:val="32"/>
        </w:rPr>
      </w:pPr>
      <w:r>
        <w:rPr>
          <w:rFonts w:ascii="Times New Roman" w:hAnsi="Times New Roman" w:cs="Times New Roman"/>
          <w:bCs/>
          <w:color w:val="auto"/>
          <w:sz w:val="24"/>
        </w:rPr>
        <w:t>附件10</w:t>
      </w:r>
    </w:p>
    <w:p>
      <w:pPr>
        <w:adjustRightInd w:val="0"/>
        <w:snapToGrid w:val="0"/>
        <w:jc w:val="center"/>
        <w:outlineLvl w:val="0"/>
        <w:rPr>
          <w:rFonts w:ascii="Times New Roman" w:hAnsi="Times New Roman" w:cs="Times New Roman"/>
          <w:color w:val="auto"/>
          <w:sz w:val="32"/>
          <w:szCs w:val="32"/>
        </w:rPr>
      </w:pPr>
    </w:p>
    <w:p>
      <w:pPr>
        <w:spacing w:line="440" w:lineRule="exact"/>
        <w:jc w:val="center"/>
        <w:rPr>
          <w:rFonts w:ascii="Times New Roman" w:hAnsi="Times New Roman" w:cs="Times New Roman"/>
          <w:bCs/>
          <w:color w:val="auto"/>
          <w:sz w:val="32"/>
          <w:szCs w:val="32"/>
        </w:rPr>
      </w:pPr>
      <w:r>
        <w:rPr>
          <w:rFonts w:ascii="Times New Roman" w:hAnsi="Times New Roman" w:cs="Times New Roman"/>
          <w:bCs/>
          <w:color w:val="auto"/>
          <w:sz w:val="32"/>
          <w:szCs w:val="32"/>
        </w:rPr>
        <w:t>未被列入“信用中国”网站失信被执行人、重大税收违法案件当事人名单、政府采购严重违法失信行为</w:t>
      </w:r>
    </w:p>
    <w:p>
      <w:pPr>
        <w:spacing w:line="440" w:lineRule="exact"/>
        <w:jc w:val="center"/>
        <w:rPr>
          <w:rFonts w:ascii="Times New Roman" w:hAnsi="Times New Roman" w:cs="Times New Roman"/>
          <w:bCs/>
          <w:color w:val="auto"/>
          <w:sz w:val="32"/>
          <w:szCs w:val="32"/>
        </w:rPr>
      </w:pPr>
      <w:r>
        <w:rPr>
          <w:rFonts w:ascii="Times New Roman" w:hAnsi="Times New Roman" w:cs="Times New Roman"/>
          <w:bCs/>
          <w:color w:val="auto"/>
          <w:sz w:val="32"/>
          <w:szCs w:val="32"/>
        </w:rPr>
        <w:t>记录名单的网页打印件</w:t>
      </w:r>
    </w:p>
    <w:p>
      <w:pPr>
        <w:spacing w:line="440" w:lineRule="exact"/>
        <w:jc w:val="center"/>
        <w:rPr>
          <w:rFonts w:ascii="Times New Roman" w:hAnsi="Times New Roman" w:cs="Times New Roman"/>
          <w:color w:val="auto"/>
          <w:sz w:val="24"/>
        </w:rPr>
      </w:pPr>
    </w:p>
    <w:p>
      <w:pPr>
        <w:spacing w:line="440" w:lineRule="exact"/>
        <w:jc w:val="center"/>
        <w:rPr>
          <w:rFonts w:ascii="Times New Roman" w:hAnsi="Times New Roman" w:cs="Times New Roman"/>
          <w:color w:val="auto"/>
        </w:rPr>
      </w:pPr>
      <w:r>
        <w:rPr>
          <w:rFonts w:ascii="Times New Roman" w:hAnsi="Times New Roman" w:cs="Times New Roman"/>
          <w:color w:val="auto"/>
          <w:sz w:val="24"/>
        </w:rPr>
        <w:t>（供应商自行打印）</w:t>
      </w:r>
    </w:p>
    <w:p>
      <w:pPr>
        <w:spacing w:line="440" w:lineRule="exact"/>
        <w:rPr>
          <w:rFonts w:ascii="Times New Roman" w:hAnsi="Times New Roman" w:cs="Times New Roman"/>
          <w:color w:val="auto"/>
        </w:rPr>
      </w:pPr>
    </w:p>
    <w:p>
      <w:pPr>
        <w:widowControl/>
        <w:jc w:val="left"/>
        <w:rPr>
          <w:rFonts w:ascii="Times New Roman" w:hAnsi="Times New Roman" w:cs="Times New Roman"/>
          <w:bCs/>
          <w:color w:val="auto"/>
          <w:sz w:val="24"/>
        </w:rPr>
      </w:pPr>
      <w:r>
        <w:rPr>
          <w:rFonts w:ascii="Times New Roman" w:hAnsi="Times New Roman" w:cs="Times New Roman"/>
          <w:bCs/>
          <w:color w:val="auto"/>
          <w:sz w:val="24"/>
        </w:rPr>
        <w:br w:type="page"/>
      </w:r>
    </w:p>
    <w:p>
      <w:pPr>
        <w:tabs>
          <w:tab w:val="left" w:pos="7665"/>
        </w:tabs>
        <w:outlineLvl w:val="1"/>
        <w:rPr>
          <w:rFonts w:ascii="宋体" w:hAnsi="宋体"/>
          <w:bCs/>
          <w:color w:val="auto"/>
          <w:sz w:val="32"/>
          <w:szCs w:val="32"/>
        </w:rPr>
      </w:pPr>
    </w:p>
    <w:p>
      <w:pPr>
        <w:tabs>
          <w:tab w:val="left" w:pos="7665"/>
        </w:tabs>
        <w:jc w:val="center"/>
        <w:outlineLvl w:val="1"/>
        <w:rPr>
          <w:color w:val="auto"/>
        </w:rPr>
      </w:pPr>
      <w:r>
        <w:rPr>
          <w:rFonts w:ascii="宋体" w:hAnsi="宋体"/>
          <w:bCs/>
          <w:color w:val="auto"/>
          <w:sz w:val="32"/>
          <w:szCs w:val="32"/>
        </w:rPr>
        <w:t>其他</w:t>
      </w:r>
      <w:r>
        <w:rPr>
          <w:rFonts w:hint="eastAsia" w:ascii="宋体" w:hAnsi="宋体"/>
          <w:bCs/>
          <w:color w:val="auto"/>
          <w:sz w:val="32"/>
          <w:szCs w:val="32"/>
        </w:rPr>
        <w:t>资格证明文件及</w:t>
      </w:r>
      <w:r>
        <w:rPr>
          <w:rFonts w:ascii="宋体" w:hAnsi="宋体"/>
          <w:bCs/>
          <w:color w:val="auto"/>
          <w:sz w:val="32"/>
          <w:szCs w:val="32"/>
        </w:rPr>
        <w:t>资料</w:t>
      </w:r>
    </w:p>
    <w:p>
      <w:pPr>
        <w:spacing w:line="360" w:lineRule="auto"/>
        <w:rPr>
          <w:rFonts w:asciiTheme="majorEastAsia" w:hAnsiTheme="majorEastAsia" w:eastAsiaTheme="majorEastAsia"/>
          <w:color w:val="auto"/>
          <w:sz w:val="24"/>
        </w:rPr>
      </w:pPr>
    </w:p>
    <w:p>
      <w:pPr>
        <w:widowControl/>
        <w:jc w:val="left"/>
        <w:rPr>
          <w:rFonts w:ascii="Times New Roman" w:hAnsi="Times New Roman" w:cs="Times New Roman"/>
          <w:bCs/>
          <w:color w:val="auto"/>
          <w:sz w:val="24"/>
        </w:rPr>
      </w:pPr>
    </w:p>
    <w:sectPr>
      <w:footerReference r:id="rId4" w:type="default"/>
      <w:pgSz w:w="11906" w:h="16838"/>
      <w:pgMar w:top="2098" w:right="1474" w:bottom="1984" w:left="158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Helvetica">
    <w:altName w:val="Sylfaen"/>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Sylfaen">
    <w:panose1 w:val="010A0502050306030303"/>
    <w:charset w:val="00"/>
    <w:family w:val="auto"/>
    <w:pitch w:val="default"/>
    <w:sig w:usb0="040006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80028021"/>
    </w:sdtPr>
    <w:sdtContent>
      <w:p>
        <w:pPr>
          <w:pStyle w:val="7"/>
          <w:jc w:val="center"/>
        </w:pPr>
        <w:r>
          <w:fldChar w:fldCharType="begin"/>
        </w:r>
        <w:r>
          <w:instrText xml:space="preserve">PAGE   \* MERGEFORMAT</w:instrText>
        </w:r>
        <w:r>
          <w:fldChar w:fldCharType="separate"/>
        </w:r>
        <w:r>
          <w:rPr>
            <w:lang w:val="zh-CN"/>
          </w:rPr>
          <w:t>22</w:t>
        </w:r>
        <w:r>
          <w:rPr>
            <w:lang w:val="zh-CN"/>
          </w:rPr>
          <w:fldChar w:fldCharType="end"/>
        </w:r>
      </w:p>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A5B0EA"/>
    <w:multiLevelType w:val="singleLevel"/>
    <w:tmpl w:val="94A5B0EA"/>
    <w:lvl w:ilvl="0" w:tentative="0">
      <w:start w:val="1"/>
      <w:numFmt w:val="decimal"/>
      <w:suff w:val="nothing"/>
      <w:lvlText w:val="%1、"/>
      <w:lvlJc w:val="left"/>
    </w:lvl>
  </w:abstractNum>
  <w:abstractNum w:abstractNumId="1">
    <w:nsid w:val="C031FC61"/>
    <w:multiLevelType w:val="singleLevel"/>
    <w:tmpl w:val="C031FC61"/>
    <w:lvl w:ilvl="0" w:tentative="0">
      <w:start w:val="1"/>
      <w:numFmt w:val="chineseCounting"/>
      <w:suff w:val="nothing"/>
      <w:lvlText w:val="%1、"/>
      <w:lvlJc w:val="left"/>
      <w:rPr>
        <w:rFonts w:hint="eastAsia"/>
      </w:rPr>
    </w:lvl>
  </w:abstractNum>
  <w:abstractNum w:abstractNumId="2">
    <w:nsid w:val="25BFE4CF"/>
    <w:multiLevelType w:val="singleLevel"/>
    <w:tmpl w:val="25BFE4CF"/>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wOGU5OTQ3ZDMwODBmODc1YTJhNGMzMDJiMmJkMTcifQ=="/>
    <w:docVar w:name="KSO_WPS_MARK_KEY" w:val="3faa0519-9cb4-4969-aa8f-db193d03418a"/>
  </w:docVars>
  <w:rsids>
    <w:rsidRoot w:val="00C914AB"/>
    <w:rsid w:val="00000FBD"/>
    <w:rsid w:val="00002B6D"/>
    <w:rsid w:val="00003D5F"/>
    <w:rsid w:val="00004E16"/>
    <w:rsid w:val="00006AB3"/>
    <w:rsid w:val="00015D54"/>
    <w:rsid w:val="000200C7"/>
    <w:rsid w:val="00020A54"/>
    <w:rsid w:val="00025685"/>
    <w:rsid w:val="00025EE6"/>
    <w:rsid w:val="00030388"/>
    <w:rsid w:val="00030E97"/>
    <w:rsid w:val="00032974"/>
    <w:rsid w:val="00035860"/>
    <w:rsid w:val="00035EC7"/>
    <w:rsid w:val="00040017"/>
    <w:rsid w:val="00060E9C"/>
    <w:rsid w:val="00062CE2"/>
    <w:rsid w:val="00064022"/>
    <w:rsid w:val="00066596"/>
    <w:rsid w:val="0007705F"/>
    <w:rsid w:val="00083226"/>
    <w:rsid w:val="00083499"/>
    <w:rsid w:val="00083EDD"/>
    <w:rsid w:val="00084658"/>
    <w:rsid w:val="000918E7"/>
    <w:rsid w:val="00091BFE"/>
    <w:rsid w:val="00095FF7"/>
    <w:rsid w:val="00096A27"/>
    <w:rsid w:val="000973B2"/>
    <w:rsid w:val="000A1217"/>
    <w:rsid w:val="000A25FC"/>
    <w:rsid w:val="000A65E4"/>
    <w:rsid w:val="000B72E7"/>
    <w:rsid w:val="000B7F00"/>
    <w:rsid w:val="000C1C7B"/>
    <w:rsid w:val="000D05D5"/>
    <w:rsid w:val="000D4073"/>
    <w:rsid w:val="000D7AB8"/>
    <w:rsid w:val="000E0852"/>
    <w:rsid w:val="000E4CD6"/>
    <w:rsid w:val="000F1B43"/>
    <w:rsid w:val="000F2A73"/>
    <w:rsid w:val="000F2F39"/>
    <w:rsid w:val="00104BB3"/>
    <w:rsid w:val="00110244"/>
    <w:rsid w:val="00116D6B"/>
    <w:rsid w:val="00130F62"/>
    <w:rsid w:val="0013566F"/>
    <w:rsid w:val="00145EE0"/>
    <w:rsid w:val="00146B0C"/>
    <w:rsid w:val="00153820"/>
    <w:rsid w:val="00154217"/>
    <w:rsid w:val="00161CC7"/>
    <w:rsid w:val="00163032"/>
    <w:rsid w:val="00170C05"/>
    <w:rsid w:val="00170C2F"/>
    <w:rsid w:val="0017303F"/>
    <w:rsid w:val="001733D0"/>
    <w:rsid w:val="00175710"/>
    <w:rsid w:val="0018203A"/>
    <w:rsid w:val="001828AF"/>
    <w:rsid w:val="00192EAC"/>
    <w:rsid w:val="001A4FD0"/>
    <w:rsid w:val="001A6184"/>
    <w:rsid w:val="001B6EA3"/>
    <w:rsid w:val="001C03B0"/>
    <w:rsid w:val="001C4F5D"/>
    <w:rsid w:val="001C78C9"/>
    <w:rsid w:val="001D082B"/>
    <w:rsid w:val="001D1983"/>
    <w:rsid w:val="001E1558"/>
    <w:rsid w:val="001E15B2"/>
    <w:rsid w:val="001E530C"/>
    <w:rsid w:val="001E63B9"/>
    <w:rsid w:val="001F3B6E"/>
    <w:rsid w:val="001F42EE"/>
    <w:rsid w:val="0021394C"/>
    <w:rsid w:val="002228A8"/>
    <w:rsid w:val="0022499F"/>
    <w:rsid w:val="00225901"/>
    <w:rsid w:val="00231898"/>
    <w:rsid w:val="002453E2"/>
    <w:rsid w:val="00247DAB"/>
    <w:rsid w:val="00254D6A"/>
    <w:rsid w:val="002563E6"/>
    <w:rsid w:val="0025720C"/>
    <w:rsid w:val="00274B51"/>
    <w:rsid w:val="00275557"/>
    <w:rsid w:val="00291AF0"/>
    <w:rsid w:val="002A0CA1"/>
    <w:rsid w:val="002A333B"/>
    <w:rsid w:val="002A5502"/>
    <w:rsid w:val="002A7C10"/>
    <w:rsid w:val="002B0530"/>
    <w:rsid w:val="002B5A87"/>
    <w:rsid w:val="002B61E7"/>
    <w:rsid w:val="002B6681"/>
    <w:rsid w:val="002C04F0"/>
    <w:rsid w:val="002C17D9"/>
    <w:rsid w:val="002C2CA2"/>
    <w:rsid w:val="002C5898"/>
    <w:rsid w:val="002D0A5D"/>
    <w:rsid w:val="002D13CF"/>
    <w:rsid w:val="002D20AD"/>
    <w:rsid w:val="002D2F1B"/>
    <w:rsid w:val="002D47A8"/>
    <w:rsid w:val="002D4A75"/>
    <w:rsid w:val="002F11F5"/>
    <w:rsid w:val="002F297A"/>
    <w:rsid w:val="002F3F09"/>
    <w:rsid w:val="002F4D10"/>
    <w:rsid w:val="0030177B"/>
    <w:rsid w:val="00310BC1"/>
    <w:rsid w:val="00312609"/>
    <w:rsid w:val="003134CE"/>
    <w:rsid w:val="00316887"/>
    <w:rsid w:val="00317E8D"/>
    <w:rsid w:val="00321B6E"/>
    <w:rsid w:val="003279DF"/>
    <w:rsid w:val="0033407F"/>
    <w:rsid w:val="00344AFD"/>
    <w:rsid w:val="00350238"/>
    <w:rsid w:val="00352652"/>
    <w:rsid w:val="00352D60"/>
    <w:rsid w:val="00353F12"/>
    <w:rsid w:val="00354F0C"/>
    <w:rsid w:val="00361C22"/>
    <w:rsid w:val="003636B3"/>
    <w:rsid w:val="0037368B"/>
    <w:rsid w:val="00375118"/>
    <w:rsid w:val="0037753D"/>
    <w:rsid w:val="003800B9"/>
    <w:rsid w:val="00386CAF"/>
    <w:rsid w:val="003874D4"/>
    <w:rsid w:val="00396E6A"/>
    <w:rsid w:val="003A5280"/>
    <w:rsid w:val="003B221E"/>
    <w:rsid w:val="003B2797"/>
    <w:rsid w:val="003C4B70"/>
    <w:rsid w:val="003C754C"/>
    <w:rsid w:val="003D1BFB"/>
    <w:rsid w:val="003E132A"/>
    <w:rsid w:val="003E4AF6"/>
    <w:rsid w:val="003E4F78"/>
    <w:rsid w:val="003E4F7D"/>
    <w:rsid w:val="003F14C4"/>
    <w:rsid w:val="003F1CA4"/>
    <w:rsid w:val="003F3C98"/>
    <w:rsid w:val="003F52FE"/>
    <w:rsid w:val="0040257B"/>
    <w:rsid w:val="00407B3A"/>
    <w:rsid w:val="00414509"/>
    <w:rsid w:val="00416B19"/>
    <w:rsid w:val="00423555"/>
    <w:rsid w:val="00423B1D"/>
    <w:rsid w:val="004247A4"/>
    <w:rsid w:val="004264EE"/>
    <w:rsid w:val="004444E0"/>
    <w:rsid w:val="004446B7"/>
    <w:rsid w:val="0044654C"/>
    <w:rsid w:val="00455E46"/>
    <w:rsid w:val="00461558"/>
    <w:rsid w:val="0046639F"/>
    <w:rsid w:val="00472ABA"/>
    <w:rsid w:val="00473028"/>
    <w:rsid w:val="004830BD"/>
    <w:rsid w:val="00487CE1"/>
    <w:rsid w:val="0049516C"/>
    <w:rsid w:val="004A184D"/>
    <w:rsid w:val="004B6ECC"/>
    <w:rsid w:val="004D3D06"/>
    <w:rsid w:val="004D4286"/>
    <w:rsid w:val="004D6EAE"/>
    <w:rsid w:val="004D7317"/>
    <w:rsid w:val="004E4739"/>
    <w:rsid w:val="004E4AD7"/>
    <w:rsid w:val="004F3852"/>
    <w:rsid w:val="004F3DD5"/>
    <w:rsid w:val="004F7C48"/>
    <w:rsid w:val="00505134"/>
    <w:rsid w:val="00516FB5"/>
    <w:rsid w:val="00517401"/>
    <w:rsid w:val="00521D58"/>
    <w:rsid w:val="00521E18"/>
    <w:rsid w:val="00522B52"/>
    <w:rsid w:val="005237F8"/>
    <w:rsid w:val="00526B83"/>
    <w:rsid w:val="00527CC7"/>
    <w:rsid w:val="0053047A"/>
    <w:rsid w:val="005308E2"/>
    <w:rsid w:val="005324BD"/>
    <w:rsid w:val="00532ADB"/>
    <w:rsid w:val="00536182"/>
    <w:rsid w:val="00541968"/>
    <w:rsid w:val="005450B0"/>
    <w:rsid w:val="00545EBA"/>
    <w:rsid w:val="00547300"/>
    <w:rsid w:val="00562E95"/>
    <w:rsid w:val="00567487"/>
    <w:rsid w:val="00570587"/>
    <w:rsid w:val="005712B0"/>
    <w:rsid w:val="00582D82"/>
    <w:rsid w:val="005875C1"/>
    <w:rsid w:val="0059476F"/>
    <w:rsid w:val="00594D10"/>
    <w:rsid w:val="005A1B29"/>
    <w:rsid w:val="005A312F"/>
    <w:rsid w:val="005A7E41"/>
    <w:rsid w:val="005B0A06"/>
    <w:rsid w:val="005C1EC3"/>
    <w:rsid w:val="005C74DC"/>
    <w:rsid w:val="005D004D"/>
    <w:rsid w:val="005D3C25"/>
    <w:rsid w:val="005D7F18"/>
    <w:rsid w:val="005E5181"/>
    <w:rsid w:val="005E6A23"/>
    <w:rsid w:val="00603779"/>
    <w:rsid w:val="006040C1"/>
    <w:rsid w:val="00604611"/>
    <w:rsid w:val="006075F3"/>
    <w:rsid w:val="006100DE"/>
    <w:rsid w:val="006108C4"/>
    <w:rsid w:val="00612616"/>
    <w:rsid w:val="006132B3"/>
    <w:rsid w:val="00615E47"/>
    <w:rsid w:val="00616FCF"/>
    <w:rsid w:val="00622D73"/>
    <w:rsid w:val="00632920"/>
    <w:rsid w:val="00634543"/>
    <w:rsid w:val="00637129"/>
    <w:rsid w:val="00642FD5"/>
    <w:rsid w:val="00646607"/>
    <w:rsid w:val="00647336"/>
    <w:rsid w:val="006608EB"/>
    <w:rsid w:val="00666CB0"/>
    <w:rsid w:val="0067461F"/>
    <w:rsid w:val="00677F08"/>
    <w:rsid w:val="006B4913"/>
    <w:rsid w:val="006C18C8"/>
    <w:rsid w:val="006C7488"/>
    <w:rsid w:val="006D18B2"/>
    <w:rsid w:val="006D40A6"/>
    <w:rsid w:val="006E1A25"/>
    <w:rsid w:val="006E30B2"/>
    <w:rsid w:val="006F0658"/>
    <w:rsid w:val="006F16B4"/>
    <w:rsid w:val="006F4AC1"/>
    <w:rsid w:val="006F6EA1"/>
    <w:rsid w:val="006F7015"/>
    <w:rsid w:val="00701B57"/>
    <w:rsid w:val="0070326F"/>
    <w:rsid w:val="00705D12"/>
    <w:rsid w:val="0070731E"/>
    <w:rsid w:val="00712E7D"/>
    <w:rsid w:val="00725053"/>
    <w:rsid w:val="00725A37"/>
    <w:rsid w:val="00725D82"/>
    <w:rsid w:val="00726173"/>
    <w:rsid w:val="00731C0F"/>
    <w:rsid w:val="007328B4"/>
    <w:rsid w:val="00733A4E"/>
    <w:rsid w:val="0073728E"/>
    <w:rsid w:val="00745FCF"/>
    <w:rsid w:val="00747FF3"/>
    <w:rsid w:val="007507EE"/>
    <w:rsid w:val="007622B0"/>
    <w:rsid w:val="00763910"/>
    <w:rsid w:val="00763CC9"/>
    <w:rsid w:val="0076544A"/>
    <w:rsid w:val="00766354"/>
    <w:rsid w:val="00767D2B"/>
    <w:rsid w:val="00767F5C"/>
    <w:rsid w:val="00772D83"/>
    <w:rsid w:val="00782F60"/>
    <w:rsid w:val="007838E8"/>
    <w:rsid w:val="00784BB8"/>
    <w:rsid w:val="00785047"/>
    <w:rsid w:val="007859AD"/>
    <w:rsid w:val="00790CE5"/>
    <w:rsid w:val="00791121"/>
    <w:rsid w:val="007929B6"/>
    <w:rsid w:val="007971C9"/>
    <w:rsid w:val="00797D03"/>
    <w:rsid w:val="007A589E"/>
    <w:rsid w:val="007A68BC"/>
    <w:rsid w:val="007A748C"/>
    <w:rsid w:val="007D6494"/>
    <w:rsid w:val="007E2A8F"/>
    <w:rsid w:val="007E63E9"/>
    <w:rsid w:val="007F5F8D"/>
    <w:rsid w:val="00800334"/>
    <w:rsid w:val="008040D0"/>
    <w:rsid w:val="00804A78"/>
    <w:rsid w:val="00807D83"/>
    <w:rsid w:val="00807EF0"/>
    <w:rsid w:val="00810937"/>
    <w:rsid w:val="00811A5C"/>
    <w:rsid w:val="00816F84"/>
    <w:rsid w:val="0082052A"/>
    <w:rsid w:val="00822A1A"/>
    <w:rsid w:val="00822F1B"/>
    <w:rsid w:val="00827B28"/>
    <w:rsid w:val="00831A77"/>
    <w:rsid w:val="0083215E"/>
    <w:rsid w:val="00832D54"/>
    <w:rsid w:val="00833C88"/>
    <w:rsid w:val="00834EA2"/>
    <w:rsid w:val="008354BF"/>
    <w:rsid w:val="00837ED8"/>
    <w:rsid w:val="00840EBA"/>
    <w:rsid w:val="00845213"/>
    <w:rsid w:val="0086326C"/>
    <w:rsid w:val="00866121"/>
    <w:rsid w:val="0086616B"/>
    <w:rsid w:val="00867ED1"/>
    <w:rsid w:val="0087223A"/>
    <w:rsid w:val="00872321"/>
    <w:rsid w:val="00874E75"/>
    <w:rsid w:val="00881071"/>
    <w:rsid w:val="00882D51"/>
    <w:rsid w:val="008869EE"/>
    <w:rsid w:val="00887862"/>
    <w:rsid w:val="008A25D2"/>
    <w:rsid w:val="008A2612"/>
    <w:rsid w:val="008A47D4"/>
    <w:rsid w:val="008A635D"/>
    <w:rsid w:val="008B79A5"/>
    <w:rsid w:val="008C2D07"/>
    <w:rsid w:val="008C7874"/>
    <w:rsid w:val="008D1AF0"/>
    <w:rsid w:val="008D4A31"/>
    <w:rsid w:val="008D5EE1"/>
    <w:rsid w:val="008D689E"/>
    <w:rsid w:val="008D7586"/>
    <w:rsid w:val="008E0F39"/>
    <w:rsid w:val="008E5F84"/>
    <w:rsid w:val="008E68D7"/>
    <w:rsid w:val="008E7B09"/>
    <w:rsid w:val="008E7BC1"/>
    <w:rsid w:val="008F3ED7"/>
    <w:rsid w:val="008F619D"/>
    <w:rsid w:val="00924836"/>
    <w:rsid w:val="00927B80"/>
    <w:rsid w:val="00930A3E"/>
    <w:rsid w:val="00931614"/>
    <w:rsid w:val="009351CE"/>
    <w:rsid w:val="009375B7"/>
    <w:rsid w:val="00942EC5"/>
    <w:rsid w:val="009450F7"/>
    <w:rsid w:val="0094645F"/>
    <w:rsid w:val="009464E6"/>
    <w:rsid w:val="0095132A"/>
    <w:rsid w:val="00951477"/>
    <w:rsid w:val="00953A93"/>
    <w:rsid w:val="00964D13"/>
    <w:rsid w:val="00966131"/>
    <w:rsid w:val="00966858"/>
    <w:rsid w:val="0097014B"/>
    <w:rsid w:val="00971B53"/>
    <w:rsid w:val="00982AF2"/>
    <w:rsid w:val="00983452"/>
    <w:rsid w:val="00986BF2"/>
    <w:rsid w:val="0099207C"/>
    <w:rsid w:val="00994374"/>
    <w:rsid w:val="00995751"/>
    <w:rsid w:val="00996829"/>
    <w:rsid w:val="009A148F"/>
    <w:rsid w:val="009A561D"/>
    <w:rsid w:val="009A6F0B"/>
    <w:rsid w:val="009B0337"/>
    <w:rsid w:val="009B1BB1"/>
    <w:rsid w:val="009B4A0C"/>
    <w:rsid w:val="009B5316"/>
    <w:rsid w:val="009B7886"/>
    <w:rsid w:val="009C0077"/>
    <w:rsid w:val="009C051E"/>
    <w:rsid w:val="009C4219"/>
    <w:rsid w:val="009C46AD"/>
    <w:rsid w:val="009D4795"/>
    <w:rsid w:val="009D49E4"/>
    <w:rsid w:val="009D78D5"/>
    <w:rsid w:val="009E5F22"/>
    <w:rsid w:val="009F2ED0"/>
    <w:rsid w:val="009F36F4"/>
    <w:rsid w:val="009F4CB2"/>
    <w:rsid w:val="00A0050C"/>
    <w:rsid w:val="00A00619"/>
    <w:rsid w:val="00A020CC"/>
    <w:rsid w:val="00A04633"/>
    <w:rsid w:val="00A111A7"/>
    <w:rsid w:val="00A158E8"/>
    <w:rsid w:val="00A164EA"/>
    <w:rsid w:val="00A178B4"/>
    <w:rsid w:val="00A17ABD"/>
    <w:rsid w:val="00A222E4"/>
    <w:rsid w:val="00A443B8"/>
    <w:rsid w:val="00A473A2"/>
    <w:rsid w:val="00A51137"/>
    <w:rsid w:val="00A553D0"/>
    <w:rsid w:val="00A55710"/>
    <w:rsid w:val="00A55863"/>
    <w:rsid w:val="00A579E8"/>
    <w:rsid w:val="00A708B9"/>
    <w:rsid w:val="00A75244"/>
    <w:rsid w:val="00A802C9"/>
    <w:rsid w:val="00A81A93"/>
    <w:rsid w:val="00A95DBC"/>
    <w:rsid w:val="00AA0687"/>
    <w:rsid w:val="00AA2D6E"/>
    <w:rsid w:val="00AA339F"/>
    <w:rsid w:val="00AA511B"/>
    <w:rsid w:val="00AA6234"/>
    <w:rsid w:val="00AA63A7"/>
    <w:rsid w:val="00AD213B"/>
    <w:rsid w:val="00AD74B5"/>
    <w:rsid w:val="00AD7807"/>
    <w:rsid w:val="00AE2B04"/>
    <w:rsid w:val="00AF0FA7"/>
    <w:rsid w:val="00AF2783"/>
    <w:rsid w:val="00AF66FA"/>
    <w:rsid w:val="00AF7C83"/>
    <w:rsid w:val="00B012F7"/>
    <w:rsid w:val="00B040BA"/>
    <w:rsid w:val="00B04E7B"/>
    <w:rsid w:val="00B06A86"/>
    <w:rsid w:val="00B10EAB"/>
    <w:rsid w:val="00B131CF"/>
    <w:rsid w:val="00B16CA3"/>
    <w:rsid w:val="00B314B3"/>
    <w:rsid w:val="00B31C93"/>
    <w:rsid w:val="00B32063"/>
    <w:rsid w:val="00B35667"/>
    <w:rsid w:val="00B503DC"/>
    <w:rsid w:val="00B615A0"/>
    <w:rsid w:val="00B61792"/>
    <w:rsid w:val="00B6747D"/>
    <w:rsid w:val="00B71ED9"/>
    <w:rsid w:val="00B77C1A"/>
    <w:rsid w:val="00B8498C"/>
    <w:rsid w:val="00B9153D"/>
    <w:rsid w:val="00B91D14"/>
    <w:rsid w:val="00B939CB"/>
    <w:rsid w:val="00B94C24"/>
    <w:rsid w:val="00B95809"/>
    <w:rsid w:val="00B95945"/>
    <w:rsid w:val="00BA2938"/>
    <w:rsid w:val="00BB68D2"/>
    <w:rsid w:val="00BB7B05"/>
    <w:rsid w:val="00BB7FD6"/>
    <w:rsid w:val="00BC245F"/>
    <w:rsid w:val="00BD2430"/>
    <w:rsid w:val="00BD249D"/>
    <w:rsid w:val="00BD39D8"/>
    <w:rsid w:val="00BD6B25"/>
    <w:rsid w:val="00BD735B"/>
    <w:rsid w:val="00BE25AE"/>
    <w:rsid w:val="00C020AB"/>
    <w:rsid w:val="00C04E2F"/>
    <w:rsid w:val="00C14D80"/>
    <w:rsid w:val="00C167DC"/>
    <w:rsid w:val="00C232CA"/>
    <w:rsid w:val="00C25808"/>
    <w:rsid w:val="00C466D8"/>
    <w:rsid w:val="00C5559C"/>
    <w:rsid w:val="00C55D11"/>
    <w:rsid w:val="00C63C0B"/>
    <w:rsid w:val="00C65DE8"/>
    <w:rsid w:val="00C70A34"/>
    <w:rsid w:val="00C72223"/>
    <w:rsid w:val="00C77309"/>
    <w:rsid w:val="00C914AB"/>
    <w:rsid w:val="00C938EA"/>
    <w:rsid w:val="00CA5B6E"/>
    <w:rsid w:val="00CB0AED"/>
    <w:rsid w:val="00CC037C"/>
    <w:rsid w:val="00CC075E"/>
    <w:rsid w:val="00CC1812"/>
    <w:rsid w:val="00CC38AE"/>
    <w:rsid w:val="00CD1DD5"/>
    <w:rsid w:val="00CD3D99"/>
    <w:rsid w:val="00CE2A13"/>
    <w:rsid w:val="00CE42C6"/>
    <w:rsid w:val="00CE5C33"/>
    <w:rsid w:val="00CE6772"/>
    <w:rsid w:val="00CE74B1"/>
    <w:rsid w:val="00CE7CE2"/>
    <w:rsid w:val="00CF31AD"/>
    <w:rsid w:val="00CF4E82"/>
    <w:rsid w:val="00D006A8"/>
    <w:rsid w:val="00D00709"/>
    <w:rsid w:val="00D03497"/>
    <w:rsid w:val="00D05443"/>
    <w:rsid w:val="00D066AF"/>
    <w:rsid w:val="00D1183B"/>
    <w:rsid w:val="00D15486"/>
    <w:rsid w:val="00D274E4"/>
    <w:rsid w:val="00D305A0"/>
    <w:rsid w:val="00D3118F"/>
    <w:rsid w:val="00D327D1"/>
    <w:rsid w:val="00D3490A"/>
    <w:rsid w:val="00D37822"/>
    <w:rsid w:val="00D37928"/>
    <w:rsid w:val="00D44EE8"/>
    <w:rsid w:val="00D53240"/>
    <w:rsid w:val="00D5619D"/>
    <w:rsid w:val="00D6013A"/>
    <w:rsid w:val="00D67912"/>
    <w:rsid w:val="00D727B9"/>
    <w:rsid w:val="00D72BFA"/>
    <w:rsid w:val="00D73CF3"/>
    <w:rsid w:val="00D75740"/>
    <w:rsid w:val="00D770C9"/>
    <w:rsid w:val="00D92E22"/>
    <w:rsid w:val="00D952E5"/>
    <w:rsid w:val="00D954E8"/>
    <w:rsid w:val="00DA30C4"/>
    <w:rsid w:val="00DA4965"/>
    <w:rsid w:val="00DA6EED"/>
    <w:rsid w:val="00DA6FEE"/>
    <w:rsid w:val="00DA76C7"/>
    <w:rsid w:val="00DA78A9"/>
    <w:rsid w:val="00DB298F"/>
    <w:rsid w:val="00DC20BA"/>
    <w:rsid w:val="00DC25B8"/>
    <w:rsid w:val="00DC3683"/>
    <w:rsid w:val="00DD711E"/>
    <w:rsid w:val="00DE2948"/>
    <w:rsid w:val="00DE6523"/>
    <w:rsid w:val="00DE6B43"/>
    <w:rsid w:val="00DF3CF6"/>
    <w:rsid w:val="00DF4205"/>
    <w:rsid w:val="00DF65F8"/>
    <w:rsid w:val="00DF749D"/>
    <w:rsid w:val="00E0475C"/>
    <w:rsid w:val="00E0584C"/>
    <w:rsid w:val="00E079A5"/>
    <w:rsid w:val="00E11181"/>
    <w:rsid w:val="00E11885"/>
    <w:rsid w:val="00E123C9"/>
    <w:rsid w:val="00E13824"/>
    <w:rsid w:val="00E153F4"/>
    <w:rsid w:val="00E202B7"/>
    <w:rsid w:val="00E208EF"/>
    <w:rsid w:val="00E27DB8"/>
    <w:rsid w:val="00E3238A"/>
    <w:rsid w:val="00E33EF7"/>
    <w:rsid w:val="00E40501"/>
    <w:rsid w:val="00E44424"/>
    <w:rsid w:val="00E60C8E"/>
    <w:rsid w:val="00E64881"/>
    <w:rsid w:val="00E64FA4"/>
    <w:rsid w:val="00E75B29"/>
    <w:rsid w:val="00E854E3"/>
    <w:rsid w:val="00E875A0"/>
    <w:rsid w:val="00E9351F"/>
    <w:rsid w:val="00E97962"/>
    <w:rsid w:val="00EA0B5A"/>
    <w:rsid w:val="00EA30DF"/>
    <w:rsid w:val="00EA4FA4"/>
    <w:rsid w:val="00ED36B3"/>
    <w:rsid w:val="00ED3F5B"/>
    <w:rsid w:val="00ED54EE"/>
    <w:rsid w:val="00EE50C8"/>
    <w:rsid w:val="00EF45F6"/>
    <w:rsid w:val="00EF5B76"/>
    <w:rsid w:val="00EF7307"/>
    <w:rsid w:val="00F07814"/>
    <w:rsid w:val="00F11F71"/>
    <w:rsid w:val="00F1495F"/>
    <w:rsid w:val="00F255ED"/>
    <w:rsid w:val="00F30C4A"/>
    <w:rsid w:val="00F35284"/>
    <w:rsid w:val="00F3656A"/>
    <w:rsid w:val="00F4035E"/>
    <w:rsid w:val="00F44183"/>
    <w:rsid w:val="00F60C3B"/>
    <w:rsid w:val="00F7284C"/>
    <w:rsid w:val="00F74637"/>
    <w:rsid w:val="00F74C61"/>
    <w:rsid w:val="00F83A27"/>
    <w:rsid w:val="00F91980"/>
    <w:rsid w:val="00F93964"/>
    <w:rsid w:val="00F93E6B"/>
    <w:rsid w:val="00F95149"/>
    <w:rsid w:val="00F9618B"/>
    <w:rsid w:val="00FA0133"/>
    <w:rsid w:val="00FA6C99"/>
    <w:rsid w:val="00FB5640"/>
    <w:rsid w:val="00FC3F62"/>
    <w:rsid w:val="00FD7C0E"/>
    <w:rsid w:val="00FE6E97"/>
    <w:rsid w:val="00FE7D1E"/>
    <w:rsid w:val="00FF0428"/>
    <w:rsid w:val="00FF1D43"/>
    <w:rsid w:val="00FF2D7C"/>
    <w:rsid w:val="00FF60D2"/>
    <w:rsid w:val="00FF6C4F"/>
    <w:rsid w:val="02C15A0B"/>
    <w:rsid w:val="02D6155C"/>
    <w:rsid w:val="06396D16"/>
    <w:rsid w:val="06C53781"/>
    <w:rsid w:val="089D7C92"/>
    <w:rsid w:val="0983617E"/>
    <w:rsid w:val="0A21680E"/>
    <w:rsid w:val="0A4E6B4B"/>
    <w:rsid w:val="0BAE7DD0"/>
    <w:rsid w:val="101A23EB"/>
    <w:rsid w:val="106A6FF4"/>
    <w:rsid w:val="10AE0049"/>
    <w:rsid w:val="15981831"/>
    <w:rsid w:val="16C849EF"/>
    <w:rsid w:val="175A5E8C"/>
    <w:rsid w:val="17AD397B"/>
    <w:rsid w:val="18996E8B"/>
    <w:rsid w:val="18E95243"/>
    <w:rsid w:val="1B027E29"/>
    <w:rsid w:val="1B8270FF"/>
    <w:rsid w:val="1B830F69"/>
    <w:rsid w:val="1B915302"/>
    <w:rsid w:val="1C8C53BA"/>
    <w:rsid w:val="1E3268F2"/>
    <w:rsid w:val="1E4744D0"/>
    <w:rsid w:val="1EAE6113"/>
    <w:rsid w:val="1EF53F2C"/>
    <w:rsid w:val="1FA53C11"/>
    <w:rsid w:val="1FA92BF0"/>
    <w:rsid w:val="21BF22D7"/>
    <w:rsid w:val="22690291"/>
    <w:rsid w:val="231E1BAB"/>
    <w:rsid w:val="246E1DA9"/>
    <w:rsid w:val="258E50DA"/>
    <w:rsid w:val="265F40BE"/>
    <w:rsid w:val="26F2182F"/>
    <w:rsid w:val="27541198"/>
    <w:rsid w:val="2A094D30"/>
    <w:rsid w:val="2A190F0A"/>
    <w:rsid w:val="2B870FC9"/>
    <w:rsid w:val="2C6B57F0"/>
    <w:rsid w:val="2DC56E5C"/>
    <w:rsid w:val="2F1803D1"/>
    <w:rsid w:val="2F4D4E09"/>
    <w:rsid w:val="2F6F4B44"/>
    <w:rsid w:val="305E43CC"/>
    <w:rsid w:val="30AF00AB"/>
    <w:rsid w:val="335602C3"/>
    <w:rsid w:val="37270288"/>
    <w:rsid w:val="373C7A4F"/>
    <w:rsid w:val="38E24BD0"/>
    <w:rsid w:val="38EC3BAC"/>
    <w:rsid w:val="3B1375AE"/>
    <w:rsid w:val="3E0F72E7"/>
    <w:rsid w:val="400C7137"/>
    <w:rsid w:val="4062290B"/>
    <w:rsid w:val="420A743F"/>
    <w:rsid w:val="42EF37EA"/>
    <w:rsid w:val="431F05F4"/>
    <w:rsid w:val="43E10E72"/>
    <w:rsid w:val="440F75EA"/>
    <w:rsid w:val="46471F97"/>
    <w:rsid w:val="490177EE"/>
    <w:rsid w:val="49B40120"/>
    <w:rsid w:val="49E862B8"/>
    <w:rsid w:val="4A2B6D5B"/>
    <w:rsid w:val="4AF7728F"/>
    <w:rsid w:val="4BE2478D"/>
    <w:rsid w:val="4C975461"/>
    <w:rsid w:val="4D1B38E5"/>
    <w:rsid w:val="4DEE4C82"/>
    <w:rsid w:val="4E286B25"/>
    <w:rsid w:val="4F2F7295"/>
    <w:rsid w:val="4F532425"/>
    <w:rsid w:val="4F755D4C"/>
    <w:rsid w:val="4F822D0B"/>
    <w:rsid w:val="4FBE01AC"/>
    <w:rsid w:val="4FCD7A0D"/>
    <w:rsid w:val="4FCE3660"/>
    <w:rsid w:val="50105E33"/>
    <w:rsid w:val="50617644"/>
    <w:rsid w:val="50EA7D89"/>
    <w:rsid w:val="516D3763"/>
    <w:rsid w:val="52157254"/>
    <w:rsid w:val="54345C5D"/>
    <w:rsid w:val="564748A2"/>
    <w:rsid w:val="57606271"/>
    <w:rsid w:val="57CA3392"/>
    <w:rsid w:val="591C7D2C"/>
    <w:rsid w:val="5C052CF9"/>
    <w:rsid w:val="5C8C6F77"/>
    <w:rsid w:val="5D4964DD"/>
    <w:rsid w:val="5D6B3E61"/>
    <w:rsid w:val="5F0D250A"/>
    <w:rsid w:val="5F105C3D"/>
    <w:rsid w:val="62F15D85"/>
    <w:rsid w:val="63A92953"/>
    <w:rsid w:val="64003F0D"/>
    <w:rsid w:val="65211D56"/>
    <w:rsid w:val="68B247CD"/>
    <w:rsid w:val="69550B91"/>
    <w:rsid w:val="69EC72A7"/>
    <w:rsid w:val="6A475748"/>
    <w:rsid w:val="6CD50455"/>
    <w:rsid w:val="6CF3387D"/>
    <w:rsid w:val="6DBD3434"/>
    <w:rsid w:val="6E8D26B3"/>
    <w:rsid w:val="6FA74D27"/>
    <w:rsid w:val="7220118F"/>
    <w:rsid w:val="72DF5473"/>
    <w:rsid w:val="72F6262D"/>
    <w:rsid w:val="7585454D"/>
    <w:rsid w:val="79711576"/>
    <w:rsid w:val="79CD384C"/>
    <w:rsid w:val="7C735F9A"/>
    <w:rsid w:val="7C8F243F"/>
    <w:rsid w:val="7DFE6F41"/>
    <w:rsid w:val="7F4C4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jc w:val="left"/>
      <w:outlineLvl w:val="0"/>
    </w:pPr>
    <w:rPr>
      <w:rFonts w:eastAsia="宋体"/>
      <w:b/>
      <w:kern w:val="44"/>
      <w:sz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4">
    <w:name w:val="Body Text"/>
    <w:basedOn w:val="1"/>
    <w:unhideWhenUsed/>
    <w:qFormat/>
    <w:uiPriority w:val="99"/>
    <w:rPr>
      <w:sz w:val="24"/>
    </w:rPr>
  </w:style>
  <w:style w:type="paragraph" w:styleId="5">
    <w:name w:val="Plain Text"/>
    <w:basedOn w:val="1"/>
    <w:link w:val="40"/>
    <w:qFormat/>
    <w:uiPriority w:val="0"/>
    <w:rPr>
      <w:rFonts w:ascii="宋体" w:hAnsi="Courier New" w:eastAsia="宋体" w:cs="Courier New"/>
      <w:szCs w:val="21"/>
    </w:rPr>
  </w:style>
  <w:style w:type="paragraph" w:styleId="6">
    <w:name w:val="Balloon Text"/>
    <w:basedOn w:val="1"/>
    <w:link w:val="28"/>
    <w:unhideWhenUsed/>
    <w:qFormat/>
    <w:uiPriority w:val="99"/>
    <w:rPr>
      <w:sz w:val="18"/>
      <w:szCs w:val="18"/>
    </w:rPr>
  </w:style>
  <w:style w:type="paragraph" w:styleId="7">
    <w:name w:val="footer"/>
    <w:basedOn w:val="1"/>
    <w:link w:val="26"/>
    <w:unhideWhenUsed/>
    <w:qFormat/>
    <w:uiPriority w:val="99"/>
    <w:pPr>
      <w:tabs>
        <w:tab w:val="center" w:pos="4153"/>
        <w:tab w:val="right" w:pos="8306"/>
      </w:tabs>
      <w:snapToGrid w:val="0"/>
      <w:jc w:val="left"/>
    </w:pPr>
    <w:rPr>
      <w:sz w:val="18"/>
      <w:szCs w:val="18"/>
    </w:rPr>
  </w:style>
  <w:style w:type="paragraph" w:styleId="8">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style>
  <w:style w:type="character" w:styleId="14">
    <w:name w:val="page number"/>
    <w:basedOn w:val="12"/>
    <w:unhideWhenUsed/>
    <w:qFormat/>
    <w:uiPriority w:val="0"/>
  </w:style>
  <w:style w:type="character" w:styleId="15">
    <w:name w:val="FollowedHyperlink"/>
    <w:basedOn w:val="12"/>
    <w:unhideWhenUsed/>
    <w:qFormat/>
    <w:uiPriority w:val="99"/>
    <w:rPr>
      <w:color w:val="C5C4AA"/>
      <w:u w:val="none"/>
    </w:rPr>
  </w:style>
  <w:style w:type="character" w:styleId="16">
    <w:name w:val="Emphasis"/>
    <w:basedOn w:val="12"/>
    <w:qFormat/>
    <w:uiPriority w:val="20"/>
  </w:style>
  <w:style w:type="character" w:styleId="17">
    <w:name w:val="HTML Definition"/>
    <w:basedOn w:val="12"/>
    <w:unhideWhenUsed/>
    <w:qFormat/>
    <w:uiPriority w:val="99"/>
  </w:style>
  <w:style w:type="character" w:styleId="18">
    <w:name w:val="HTML Typewriter"/>
    <w:basedOn w:val="12"/>
    <w:unhideWhenUsed/>
    <w:qFormat/>
    <w:uiPriority w:val="99"/>
    <w:rPr>
      <w:rFonts w:ascii="monospace" w:hAnsi="monospace" w:eastAsia="monospace" w:cs="monospace"/>
      <w:sz w:val="20"/>
    </w:rPr>
  </w:style>
  <w:style w:type="character" w:styleId="19">
    <w:name w:val="HTML Acronym"/>
    <w:basedOn w:val="12"/>
    <w:unhideWhenUsed/>
    <w:qFormat/>
    <w:uiPriority w:val="99"/>
  </w:style>
  <w:style w:type="character" w:styleId="20">
    <w:name w:val="HTML Variable"/>
    <w:basedOn w:val="12"/>
    <w:unhideWhenUsed/>
    <w:qFormat/>
    <w:uiPriority w:val="99"/>
  </w:style>
  <w:style w:type="character" w:styleId="21">
    <w:name w:val="Hyperlink"/>
    <w:basedOn w:val="12"/>
    <w:unhideWhenUsed/>
    <w:qFormat/>
    <w:uiPriority w:val="99"/>
    <w:rPr>
      <w:color w:val="0000FF" w:themeColor="hyperlink"/>
      <w:u w:val="single"/>
      <w14:textFill>
        <w14:solidFill>
          <w14:schemeClr w14:val="hlink"/>
        </w14:solidFill>
      </w14:textFill>
    </w:rPr>
  </w:style>
  <w:style w:type="character" w:styleId="22">
    <w:name w:val="HTML Code"/>
    <w:basedOn w:val="12"/>
    <w:unhideWhenUsed/>
    <w:qFormat/>
    <w:uiPriority w:val="99"/>
    <w:rPr>
      <w:rFonts w:hint="default" w:ascii="monospace" w:hAnsi="monospace" w:eastAsia="monospace" w:cs="monospace"/>
      <w:sz w:val="20"/>
    </w:rPr>
  </w:style>
  <w:style w:type="character" w:styleId="23">
    <w:name w:val="HTML Cite"/>
    <w:basedOn w:val="12"/>
    <w:unhideWhenUsed/>
    <w:qFormat/>
    <w:uiPriority w:val="99"/>
  </w:style>
  <w:style w:type="character" w:styleId="24">
    <w:name w:val="HTML Keyboard"/>
    <w:basedOn w:val="12"/>
    <w:unhideWhenUsed/>
    <w:qFormat/>
    <w:uiPriority w:val="99"/>
    <w:rPr>
      <w:rFonts w:hint="default" w:ascii="monospace" w:hAnsi="monospace" w:eastAsia="monospace" w:cs="monospace"/>
      <w:sz w:val="20"/>
    </w:rPr>
  </w:style>
  <w:style w:type="character" w:styleId="25">
    <w:name w:val="HTML Sample"/>
    <w:basedOn w:val="12"/>
    <w:unhideWhenUsed/>
    <w:qFormat/>
    <w:uiPriority w:val="99"/>
    <w:rPr>
      <w:rFonts w:hint="default" w:ascii="monospace" w:hAnsi="monospace" w:eastAsia="monospace" w:cs="monospace"/>
    </w:rPr>
  </w:style>
  <w:style w:type="character" w:customStyle="1" w:styleId="26">
    <w:name w:val="页脚 字符"/>
    <w:basedOn w:val="12"/>
    <w:link w:val="7"/>
    <w:qFormat/>
    <w:uiPriority w:val="99"/>
    <w:rPr>
      <w:sz w:val="18"/>
      <w:szCs w:val="18"/>
    </w:rPr>
  </w:style>
  <w:style w:type="paragraph" w:customStyle="1" w:styleId="27">
    <w:name w:val="列出段落1"/>
    <w:basedOn w:val="1"/>
    <w:qFormat/>
    <w:uiPriority w:val="34"/>
    <w:pPr>
      <w:ind w:firstLine="420" w:firstLineChars="200"/>
    </w:pPr>
  </w:style>
  <w:style w:type="character" w:customStyle="1" w:styleId="28">
    <w:name w:val="批注框文本 字符"/>
    <w:basedOn w:val="12"/>
    <w:link w:val="6"/>
    <w:semiHidden/>
    <w:qFormat/>
    <w:uiPriority w:val="99"/>
    <w:rPr>
      <w:sz w:val="18"/>
      <w:szCs w:val="18"/>
    </w:rPr>
  </w:style>
  <w:style w:type="character" w:customStyle="1" w:styleId="29">
    <w:name w:val="页眉 字符"/>
    <w:basedOn w:val="12"/>
    <w:link w:val="8"/>
    <w:qFormat/>
    <w:uiPriority w:val="99"/>
    <w:rPr>
      <w:sz w:val="18"/>
      <w:szCs w:val="18"/>
    </w:rPr>
  </w:style>
  <w:style w:type="character" w:customStyle="1" w:styleId="30">
    <w:name w:val="font01"/>
    <w:basedOn w:val="12"/>
    <w:qFormat/>
    <w:uiPriority w:val="0"/>
    <w:rPr>
      <w:rFonts w:ascii="Helvetica" w:hAnsi="Helvetica" w:eastAsia="Helvetica" w:cs="Helvetica"/>
      <w:color w:val="000000"/>
      <w:sz w:val="16"/>
      <w:szCs w:val="16"/>
      <w:u w:val="none"/>
    </w:rPr>
  </w:style>
  <w:style w:type="character" w:customStyle="1" w:styleId="31">
    <w:name w:val="font41"/>
    <w:basedOn w:val="12"/>
    <w:qFormat/>
    <w:uiPriority w:val="0"/>
    <w:rPr>
      <w:rFonts w:hint="eastAsia" w:ascii="宋体" w:hAnsi="宋体" w:eastAsia="宋体" w:cs="宋体"/>
      <w:color w:val="000000"/>
      <w:sz w:val="16"/>
      <w:szCs w:val="16"/>
      <w:u w:val="none"/>
    </w:rPr>
  </w:style>
  <w:style w:type="character" w:customStyle="1" w:styleId="32">
    <w:name w:val="font11"/>
    <w:basedOn w:val="12"/>
    <w:qFormat/>
    <w:uiPriority w:val="0"/>
    <w:rPr>
      <w:rFonts w:hint="default" w:ascii="Times New Roman" w:hAnsi="Times New Roman" w:cs="Times New Roman"/>
      <w:color w:val="000000"/>
      <w:sz w:val="16"/>
      <w:szCs w:val="16"/>
      <w:u w:val="none"/>
    </w:rPr>
  </w:style>
  <w:style w:type="character" w:customStyle="1" w:styleId="33">
    <w:name w:val="font21"/>
    <w:basedOn w:val="12"/>
    <w:qFormat/>
    <w:uiPriority w:val="0"/>
    <w:rPr>
      <w:rFonts w:ascii="Helvetica" w:hAnsi="Helvetica" w:eastAsia="Helvetica" w:cs="Helvetica"/>
      <w:color w:val="000000"/>
      <w:sz w:val="16"/>
      <w:szCs w:val="16"/>
      <w:u w:val="none"/>
    </w:rPr>
  </w:style>
  <w:style w:type="character" w:customStyle="1" w:styleId="34">
    <w:name w:val="font51"/>
    <w:basedOn w:val="12"/>
    <w:qFormat/>
    <w:uiPriority w:val="0"/>
    <w:rPr>
      <w:rFonts w:hint="eastAsia" w:ascii="宋体" w:hAnsi="宋体" w:eastAsia="宋体" w:cs="宋体"/>
      <w:color w:val="000000"/>
      <w:sz w:val="16"/>
      <w:szCs w:val="16"/>
      <w:u w:val="none"/>
    </w:rPr>
  </w:style>
  <w:style w:type="character" w:customStyle="1" w:styleId="35">
    <w:name w:val="font31"/>
    <w:basedOn w:val="12"/>
    <w:qFormat/>
    <w:uiPriority w:val="0"/>
    <w:rPr>
      <w:rFonts w:hint="eastAsia" w:ascii="宋体" w:hAnsi="宋体" w:eastAsia="宋体" w:cs="宋体"/>
      <w:color w:val="000000"/>
      <w:sz w:val="16"/>
      <w:szCs w:val="16"/>
      <w:u w:val="none"/>
    </w:rPr>
  </w:style>
  <w:style w:type="character" w:customStyle="1" w:styleId="36">
    <w:name w:val="font61"/>
    <w:basedOn w:val="12"/>
    <w:qFormat/>
    <w:uiPriority w:val="0"/>
    <w:rPr>
      <w:rFonts w:hint="eastAsia" w:ascii="宋体" w:hAnsi="宋体" w:eastAsia="宋体" w:cs="宋体"/>
      <w:color w:val="000000"/>
      <w:sz w:val="16"/>
      <w:szCs w:val="16"/>
      <w:u w:val="none"/>
    </w:rPr>
  </w:style>
  <w:style w:type="character" w:customStyle="1" w:styleId="37">
    <w:name w:val="font71"/>
    <w:basedOn w:val="12"/>
    <w:qFormat/>
    <w:uiPriority w:val="0"/>
    <w:rPr>
      <w:rFonts w:ascii="Helvetica" w:hAnsi="Helvetica" w:eastAsia="Helvetica" w:cs="Helvetica"/>
      <w:color w:val="000000"/>
      <w:sz w:val="16"/>
      <w:szCs w:val="16"/>
      <w:u w:val="none"/>
    </w:rPr>
  </w:style>
  <w:style w:type="character" w:customStyle="1" w:styleId="38">
    <w:name w:val="font91"/>
    <w:basedOn w:val="12"/>
    <w:qFormat/>
    <w:uiPriority w:val="0"/>
    <w:rPr>
      <w:rFonts w:hint="default" w:ascii="Times New Roman" w:hAnsi="Times New Roman" w:cs="Times New Roman"/>
      <w:color w:val="000000"/>
      <w:sz w:val="16"/>
      <w:szCs w:val="16"/>
      <w:u w:val="none"/>
    </w:rPr>
  </w:style>
  <w:style w:type="character" w:customStyle="1" w:styleId="39">
    <w:name w:val="font81"/>
    <w:basedOn w:val="12"/>
    <w:qFormat/>
    <w:uiPriority w:val="0"/>
    <w:rPr>
      <w:rFonts w:hint="eastAsia" w:ascii="宋体" w:hAnsi="宋体" w:eastAsia="宋体" w:cs="宋体"/>
      <w:color w:val="000000"/>
      <w:sz w:val="16"/>
      <w:szCs w:val="16"/>
      <w:u w:val="none"/>
    </w:rPr>
  </w:style>
  <w:style w:type="character" w:customStyle="1" w:styleId="40">
    <w:name w:val="纯文本 字符"/>
    <w:basedOn w:val="12"/>
    <w:link w:val="5"/>
    <w:qFormat/>
    <w:uiPriority w:val="0"/>
    <w:rPr>
      <w:rFonts w:ascii="宋体" w:hAnsi="Courier New" w:cs="Courier New"/>
      <w:kern w:val="2"/>
      <w:sz w:val="21"/>
      <w:szCs w:val="21"/>
    </w:rPr>
  </w:style>
  <w:style w:type="paragraph" w:customStyle="1" w:styleId="41">
    <w:name w:val="正文1"/>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paragraph" w:customStyle="1" w:styleId="42">
    <w:name w:val="p0"/>
    <w:basedOn w:val="1"/>
    <w:qFormat/>
    <w:uiPriority w:val="0"/>
    <w:pPr>
      <w:widowControl/>
    </w:pPr>
    <w:rPr>
      <w:kern w:val="0"/>
      <w:szCs w:val="21"/>
    </w:rPr>
  </w:style>
  <w:style w:type="character" w:customStyle="1" w:styleId="43">
    <w:name w:val="overfont"/>
    <w:basedOn w:val="12"/>
    <w:qFormat/>
    <w:uiPriority w:val="0"/>
  </w:style>
  <w:style w:type="paragraph" w:styleId="44">
    <w:name w:val="List Paragraph"/>
    <w:basedOn w:val="1"/>
    <w:qFormat/>
    <w:uiPriority w:val="0"/>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46</Pages>
  <Words>16875</Words>
  <Characters>20508</Characters>
  <Lines>78</Lines>
  <Paragraphs>22</Paragraphs>
  <TotalTime>1</TotalTime>
  <ScaleCrop>false</ScaleCrop>
  <LinksUpToDate>false</LinksUpToDate>
  <CharactersWithSpaces>21234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2018-09-10T06:41:00Z</dcterms:created>
  <dc:creator>lenovo</dc:creator>
  <cp:lastModifiedBy>。</cp:lastModifiedBy>
  <cp:lastPrinted>2018-08-09T02:43:00Z</cp:lastPrinted>
  <dcterms:modified xsi:type="dcterms:W3CDTF">2024-05-30T02:05:12Z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45F0189506FB476D8C5BF62D8D00E1CA</vt:lpwstr>
  </property>
</Properties>
</file>